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BE56" w14:textId="7DBFF473" w:rsidR="6F981B25" w:rsidRDefault="681499D2" w:rsidP="29EE79A3">
      <w:pPr>
        <w:rPr>
          <w:b/>
          <w:bCs/>
        </w:rPr>
      </w:pPr>
      <w:r w:rsidRPr="29EE79A3">
        <w:rPr>
          <w:b/>
          <w:bCs/>
        </w:rPr>
        <w:t xml:space="preserve">Homelessness Demand and Temporary Accommodation Regular Update – October </w:t>
      </w:r>
      <w:r w:rsidR="7C1D4AED" w:rsidRPr="29EE79A3">
        <w:rPr>
          <w:b/>
          <w:bCs/>
        </w:rPr>
        <w:t>20</w:t>
      </w:r>
      <w:r w:rsidRPr="29EE79A3">
        <w:rPr>
          <w:b/>
          <w:bCs/>
        </w:rPr>
        <w:t>24 – Richard Wood and Kieran Edmunds</w:t>
      </w:r>
    </w:p>
    <w:tbl>
      <w:tblPr>
        <w:tblStyle w:val="TableGrid"/>
        <w:tblW w:w="14541" w:type="dxa"/>
        <w:tblLayout w:type="fixed"/>
        <w:tblLook w:val="06A0" w:firstRow="1" w:lastRow="0" w:firstColumn="1" w:lastColumn="0" w:noHBand="1" w:noVBand="1"/>
      </w:tblPr>
      <w:tblGrid>
        <w:gridCol w:w="4017"/>
        <w:gridCol w:w="1255"/>
        <w:gridCol w:w="1312"/>
        <w:gridCol w:w="6994"/>
        <w:gridCol w:w="963"/>
      </w:tblGrid>
      <w:tr w:rsidR="64CC32DE" w14:paraId="1B74EC44" w14:textId="77777777" w:rsidTr="2C0F81E8">
        <w:trPr>
          <w:trHeight w:val="300"/>
        </w:trPr>
        <w:tc>
          <w:tcPr>
            <w:tcW w:w="14541" w:type="dxa"/>
            <w:gridSpan w:val="5"/>
            <w:shd w:val="clear" w:color="auto" w:fill="A5C9EB" w:themeFill="text2" w:themeFillTint="40"/>
          </w:tcPr>
          <w:p w14:paraId="202613BA" w14:textId="05C3B32E" w:rsidR="43EDFC38" w:rsidRDefault="43EDFC38" w:rsidP="29EE79A3">
            <w:pPr>
              <w:spacing w:line="279" w:lineRule="auto"/>
              <w:rPr>
                <w:b/>
                <w:bCs/>
                <w:sz w:val="22"/>
                <w:szCs w:val="22"/>
              </w:rPr>
            </w:pPr>
            <w:r w:rsidRPr="29EE79A3">
              <w:rPr>
                <w:b/>
                <w:bCs/>
                <w:sz w:val="22"/>
                <w:szCs w:val="22"/>
              </w:rPr>
              <w:t>Key Temporary Accommodation</w:t>
            </w:r>
            <w:r w:rsidR="48DFCA2E" w:rsidRPr="29EE79A3">
              <w:rPr>
                <w:b/>
                <w:bCs/>
                <w:sz w:val="22"/>
                <w:szCs w:val="22"/>
              </w:rPr>
              <w:t xml:space="preserve"> (TA)</w:t>
            </w:r>
            <w:r w:rsidRPr="29EE79A3">
              <w:rPr>
                <w:b/>
                <w:bCs/>
                <w:sz w:val="22"/>
                <w:szCs w:val="22"/>
              </w:rPr>
              <w:t xml:space="preserve"> </w:t>
            </w:r>
            <w:r w:rsidR="3C078C91" w:rsidRPr="29EE79A3">
              <w:rPr>
                <w:b/>
                <w:bCs/>
                <w:sz w:val="22"/>
                <w:szCs w:val="22"/>
              </w:rPr>
              <w:t xml:space="preserve">Demand </w:t>
            </w:r>
            <w:r w:rsidRPr="29EE79A3">
              <w:rPr>
                <w:b/>
                <w:bCs/>
                <w:sz w:val="22"/>
                <w:szCs w:val="22"/>
              </w:rPr>
              <w:t>Indicators</w:t>
            </w:r>
          </w:p>
          <w:p w14:paraId="448CC158" w14:textId="5ECC263D" w:rsidR="64CC32DE" w:rsidRDefault="64CC32DE" w:rsidP="64CC32DE">
            <w:pPr>
              <w:rPr>
                <w:sz w:val="22"/>
                <w:szCs w:val="22"/>
              </w:rPr>
            </w:pPr>
          </w:p>
        </w:tc>
      </w:tr>
      <w:tr w:rsidR="6F981B25" w14:paraId="31A724F6" w14:textId="77777777" w:rsidTr="2C0F81E8">
        <w:trPr>
          <w:trHeight w:val="300"/>
        </w:trPr>
        <w:tc>
          <w:tcPr>
            <w:tcW w:w="4017" w:type="dxa"/>
            <w:shd w:val="clear" w:color="auto" w:fill="A5C9EB" w:themeFill="text2" w:themeFillTint="40"/>
          </w:tcPr>
          <w:p w14:paraId="38AF8C1A" w14:textId="5DCEFE6F" w:rsidR="28B3D232" w:rsidRDefault="61EF2240" w:rsidP="64CC32DE">
            <w:pPr>
              <w:rPr>
                <w:sz w:val="22"/>
                <w:szCs w:val="22"/>
              </w:rPr>
            </w:pPr>
            <w:r w:rsidRPr="64CC32DE">
              <w:rPr>
                <w:sz w:val="22"/>
                <w:szCs w:val="22"/>
              </w:rPr>
              <w:t xml:space="preserve"> </w:t>
            </w:r>
            <w:r w:rsidR="668E102E" w:rsidRPr="64CC32DE">
              <w:rPr>
                <w:sz w:val="22"/>
                <w:szCs w:val="22"/>
              </w:rPr>
              <w:t xml:space="preserve">Description </w:t>
            </w:r>
          </w:p>
        </w:tc>
        <w:tc>
          <w:tcPr>
            <w:tcW w:w="1255" w:type="dxa"/>
            <w:shd w:val="clear" w:color="auto" w:fill="A5C9EB" w:themeFill="text2" w:themeFillTint="40"/>
          </w:tcPr>
          <w:p w14:paraId="4BC312D7" w14:textId="1FDEA741" w:rsidR="74CBC4E4" w:rsidRDefault="74CBC4E4" w:rsidP="64CC32DE">
            <w:pPr>
              <w:spacing w:line="279" w:lineRule="auto"/>
              <w:rPr>
                <w:sz w:val="22"/>
                <w:szCs w:val="22"/>
              </w:rPr>
            </w:pPr>
            <w:r w:rsidRPr="2C0F81E8">
              <w:rPr>
                <w:sz w:val="22"/>
                <w:szCs w:val="22"/>
              </w:rPr>
              <w:t xml:space="preserve">Result </w:t>
            </w:r>
            <w:r w:rsidR="7F1AABEF" w:rsidRPr="2C0F81E8">
              <w:rPr>
                <w:sz w:val="22"/>
                <w:szCs w:val="22"/>
              </w:rPr>
              <w:t xml:space="preserve">at </w:t>
            </w:r>
            <w:r w:rsidR="611898D8" w:rsidRPr="2C0F81E8">
              <w:rPr>
                <w:sz w:val="22"/>
                <w:szCs w:val="22"/>
              </w:rPr>
              <w:t>EOY 23/24 (March)</w:t>
            </w:r>
          </w:p>
        </w:tc>
        <w:tc>
          <w:tcPr>
            <w:tcW w:w="1312" w:type="dxa"/>
            <w:shd w:val="clear" w:color="auto" w:fill="A5C9EB" w:themeFill="text2" w:themeFillTint="40"/>
          </w:tcPr>
          <w:p w14:paraId="33BAE68C" w14:textId="1673A61B" w:rsidR="28B3D232" w:rsidRDefault="7C82FA12" w:rsidP="64CC32DE">
            <w:pPr>
              <w:spacing w:line="279" w:lineRule="auto"/>
              <w:rPr>
                <w:sz w:val="22"/>
                <w:szCs w:val="22"/>
              </w:rPr>
            </w:pPr>
            <w:r w:rsidRPr="64CC32DE">
              <w:rPr>
                <w:sz w:val="22"/>
                <w:szCs w:val="22"/>
              </w:rPr>
              <w:t>Result September 2</w:t>
            </w:r>
            <w:r w:rsidR="61EC1EC0" w:rsidRPr="64CC32DE">
              <w:rPr>
                <w:sz w:val="22"/>
                <w:szCs w:val="22"/>
              </w:rPr>
              <w:t>4</w:t>
            </w:r>
          </w:p>
        </w:tc>
        <w:tc>
          <w:tcPr>
            <w:tcW w:w="6994" w:type="dxa"/>
            <w:shd w:val="clear" w:color="auto" w:fill="A5C9EB" w:themeFill="text2" w:themeFillTint="40"/>
          </w:tcPr>
          <w:p w14:paraId="64675182" w14:textId="184365CD" w:rsidR="28B3D232" w:rsidRDefault="61EF2240" w:rsidP="64CC32DE">
            <w:pPr>
              <w:rPr>
                <w:sz w:val="22"/>
                <w:szCs w:val="22"/>
              </w:rPr>
            </w:pPr>
            <w:r w:rsidRPr="64CC32DE">
              <w:rPr>
                <w:sz w:val="22"/>
                <w:szCs w:val="22"/>
              </w:rPr>
              <w:t xml:space="preserve">Comments </w:t>
            </w:r>
          </w:p>
        </w:tc>
        <w:tc>
          <w:tcPr>
            <w:tcW w:w="963" w:type="dxa"/>
            <w:shd w:val="clear" w:color="auto" w:fill="A5C9EB" w:themeFill="text2" w:themeFillTint="40"/>
          </w:tcPr>
          <w:p w14:paraId="6F00FB7C" w14:textId="3C245222" w:rsidR="28B3D232" w:rsidRDefault="61EF2240" w:rsidP="64CC32DE">
            <w:pPr>
              <w:rPr>
                <w:sz w:val="22"/>
                <w:szCs w:val="22"/>
              </w:rPr>
            </w:pPr>
            <w:r w:rsidRPr="64CC32DE">
              <w:rPr>
                <w:sz w:val="22"/>
                <w:szCs w:val="22"/>
              </w:rPr>
              <w:t xml:space="preserve">RAG rating </w:t>
            </w:r>
          </w:p>
        </w:tc>
      </w:tr>
      <w:tr w:rsidR="6F981B25" w14:paraId="1E27A8F1" w14:textId="77777777" w:rsidTr="2C0F81E8">
        <w:trPr>
          <w:trHeight w:val="300"/>
        </w:trPr>
        <w:tc>
          <w:tcPr>
            <w:tcW w:w="4017" w:type="dxa"/>
          </w:tcPr>
          <w:p w14:paraId="0084C545" w14:textId="1CDE7692" w:rsidR="22870B10" w:rsidRDefault="43CC0497" w:rsidP="64CC32DE">
            <w:pPr>
              <w:rPr>
                <w:sz w:val="22"/>
                <w:szCs w:val="22"/>
              </w:rPr>
            </w:pPr>
            <w:r w:rsidRPr="64CC32DE">
              <w:rPr>
                <w:sz w:val="22"/>
                <w:szCs w:val="22"/>
              </w:rPr>
              <w:t xml:space="preserve">Number of </w:t>
            </w:r>
            <w:r w:rsidR="38CFF01F" w:rsidRPr="64CC32DE">
              <w:rPr>
                <w:sz w:val="22"/>
                <w:szCs w:val="22"/>
              </w:rPr>
              <w:t>households in temporary accommodation</w:t>
            </w:r>
          </w:p>
        </w:tc>
        <w:tc>
          <w:tcPr>
            <w:tcW w:w="1255" w:type="dxa"/>
          </w:tcPr>
          <w:p w14:paraId="0F8F1D7D" w14:textId="0C667DBF" w:rsidR="3A127B46" w:rsidRDefault="3A127B46" w:rsidP="64CC32DE">
            <w:pPr>
              <w:rPr>
                <w:sz w:val="22"/>
                <w:szCs w:val="22"/>
              </w:rPr>
            </w:pPr>
            <w:r w:rsidRPr="64CC32DE">
              <w:rPr>
                <w:sz w:val="22"/>
                <w:szCs w:val="22"/>
              </w:rPr>
              <w:t>246</w:t>
            </w:r>
          </w:p>
          <w:p w14:paraId="3E23AE5A" w14:textId="73798876" w:rsidR="64CC32DE" w:rsidRDefault="64CC32DE" w:rsidP="64CC32DE">
            <w:pPr>
              <w:rPr>
                <w:sz w:val="22"/>
                <w:szCs w:val="22"/>
              </w:rPr>
            </w:pPr>
          </w:p>
        </w:tc>
        <w:tc>
          <w:tcPr>
            <w:tcW w:w="1312" w:type="dxa"/>
          </w:tcPr>
          <w:p w14:paraId="7246BC19" w14:textId="79D8F268" w:rsidR="6F981B25" w:rsidRDefault="3A127B46" w:rsidP="64CC32DE">
            <w:pPr>
              <w:rPr>
                <w:sz w:val="22"/>
                <w:szCs w:val="22"/>
              </w:rPr>
            </w:pPr>
            <w:r w:rsidRPr="64CC32DE">
              <w:rPr>
                <w:sz w:val="22"/>
                <w:szCs w:val="22"/>
              </w:rPr>
              <w:t>238</w:t>
            </w:r>
          </w:p>
        </w:tc>
        <w:tc>
          <w:tcPr>
            <w:tcW w:w="6994" w:type="dxa"/>
          </w:tcPr>
          <w:p w14:paraId="77EF8BE6" w14:textId="5AE0AD43" w:rsidR="6F981B25" w:rsidRDefault="4133AFC7" w:rsidP="64CC32DE">
            <w:pPr>
              <w:rPr>
                <w:sz w:val="22"/>
                <w:szCs w:val="22"/>
              </w:rPr>
            </w:pPr>
            <w:r w:rsidRPr="2C0F81E8">
              <w:rPr>
                <w:sz w:val="22"/>
                <w:szCs w:val="22"/>
              </w:rPr>
              <w:t>T</w:t>
            </w:r>
            <w:r w:rsidR="1590D7C9" w:rsidRPr="2C0F81E8">
              <w:rPr>
                <w:sz w:val="22"/>
                <w:szCs w:val="22"/>
              </w:rPr>
              <w:t xml:space="preserve">he </w:t>
            </w:r>
            <w:r w:rsidRPr="2C0F81E8">
              <w:rPr>
                <w:sz w:val="22"/>
                <w:szCs w:val="22"/>
              </w:rPr>
              <w:t>number of households in TA in Oxford has dropped</w:t>
            </w:r>
            <w:r w:rsidR="0D4BF487" w:rsidRPr="2C0F81E8">
              <w:rPr>
                <w:sz w:val="22"/>
                <w:szCs w:val="22"/>
              </w:rPr>
              <w:t xml:space="preserve"> slightly</w:t>
            </w:r>
            <w:r w:rsidRPr="2C0F81E8">
              <w:rPr>
                <w:sz w:val="22"/>
                <w:szCs w:val="22"/>
              </w:rPr>
              <w:t xml:space="preserve"> </w:t>
            </w:r>
            <w:r w:rsidR="3F47A1DD" w:rsidRPr="2C0F81E8">
              <w:rPr>
                <w:sz w:val="22"/>
                <w:szCs w:val="22"/>
              </w:rPr>
              <w:t xml:space="preserve">since March, but homelessness and </w:t>
            </w:r>
            <w:r w:rsidR="5FA5117E" w:rsidRPr="2C0F81E8">
              <w:rPr>
                <w:sz w:val="22"/>
                <w:szCs w:val="22"/>
              </w:rPr>
              <w:t>new TA</w:t>
            </w:r>
            <w:r w:rsidR="3996EE08" w:rsidRPr="2C0F81E8">
              <w:rPr>
                <w:sz w:val="22"/>
                <w:szCs w:val="22"/>
              </w:rPr>
              <w:t xml:space="preserve"> </w:t>
            </w:r>
            <w:r w:rsidR="3F47A1DD" w:rsidRPr="2C0F81E8">
              <w:rPr>
                <w:sz w:val="22"/>
                <w:szCs w:val="22"/>
              </w:rPr>
              <w:t>placement</w:t>
            </w:r>
            <w:r w:rsidR="5C81BBD9" w:rsidRPr="2C0F81E8">
              <w:rPr>
                <w:sz w:val="22"/>
                <w:szCs w:val="22"/>
              </w:rPr>
              <w:t>s</w:t>
            </w:r>
            <w:r w:rsidR="3F47A1DD" w:rsidRPr="2C0F81E8">
              <w:rPr>
                <w:sz w:val="22"/>
                <w:szCs w:val="22"/>
              </w:rPr>
              <w:t xml:space="preserve"> remain high so </w:t>
            </w:r>
            <w:r w:rsidR="61741289" w:rsidRPr="2C0F81E8">
              <w:rPr>
                <w:sz w:val="22"/>
                <w:szCs w:val="22"/>
              </w:rPr>
              <w:t>could</w:t>
            </w:r>
            <w:r w:rsidR="3F47A1DD" w:rsidRPr="2C0F81E8">
              <w:rPr>
                <w:sz w:val="22"/>
                <w:szCs w:val="22"/>
              </w:rPr>
              <w:t xml:space="preserve"> rise again, so rated amber. </w:t>
            </w:r>
            <w:r w:rsidR="62AFFE64" w:rsidRPr="2C0F81E8">
              <w:rPr>
                <w:sz w:val="22"/>
                <w:szCs w:val="22"/>
              </w:rPr>
              <w:t xml:space="preserve"> Despite a continued high placement rate, t</w:t>
            </w:r>
            <w:r w:rsidR="3F47A1DD" w:rsidRPr="2C0F81E8">
              <w:rPr>
                <w:sz w:val="22"/>
                <w:szCs w:val="22"/>
              </w:rPr>
              <w:t>h</w:t>
            </w:r>
            <w:r w:rsidR="3FFCADB6" w:rsidRPr="2C0F81E8">
              <w:rPr>
                <w:sz w:val="22"/>
                <w:szCs w:val="22"/>
              </w:rPr>
              <w:t xml:space="preserve">is marginal </w:t>
            </w:r>
            <w:r w:rsidR="3F47A1DD" w:rsidRPr="2C0F81E8">
              <w:rPr>
                <w:sz w:val="22"/>
                <w:szCs w:val="22"/>
              </w:rPr>
              <w:t xml:space="preserve">decline has been </w:t>
            </w:r>
            <w:r w:rsidR="58161B08" w:rsidRPr="2C0F81E8">
              <w:rPr>
                <w:sz w:val="22"/>
                <w:szCs w:val="22"/>
              </w:rPr>
              <w:t>achieved</w:t>
            </w:r>
            <w:r w:rsidR="4D1CCCB2" w:rsidRPr="2C0F81E8">
              <w:rPr>
                <w:sz w:val="22"/>
                <w:szCs w:val="22"/>
              </w:rPr>
              <w:t xml:space="preserve">, </w:t>
            </w:r>
            <w:proofErr w:type="gramStart"/>
            <w:r w:rsidR="3D3F3DB1" w:rsidRPr="2C0F81E8">
              <w:rPr>
                <w:sz w:val="22"/>
                <w:szCs w:val="22"/>
              </w:rPr>
              <w:t>as a result of</w:t>
            </w:r>
            <w:proofErr w:type="gramEnd"/>
            <w:r w:rsidR="3D3F3DB1" w:rsidRPr="2C0F81E8">
              <w:rPr>
                <w:sz w:val="22"/>
                <w:szCs w:val="22"/>
              </w:rPr>
              <w:t xml:space="preserve"> </w:t>
            </w:r>
            <w:r w:rsidR="7B57C94A" w:rsidRPr="2C0F81E8">
              <w:rPr>
                <w:sz w:val="22"/>
                <w:szCs w:val="22"/>
              </w:rPr>
              <w:t>the</w:t>
            </w:r>
            <w:r w:rsidR="4D1CCCB2" w:rsidRPr="2C0F81E8">
              <w:rPr>
                <w:sz w:val="22"/>
                <w:szCs w:val="22"/>
              </w:rPr>
              <w:t xml:space="preserve"> Council</w:t>
            </w:r>
            <w:r w:rsidR="2CF4D7FC" w:rsidRPr="2C0F81E8">
              <w:rPr>
                <w:sz w:val="22"/>
                <w:szCs w:val="22"/>
              </w:rPr>
              <w:t>’</w:t>
            </w:r>
            <w:r w:rsidR="4D1CCCB2" w:rsidRPr="2C0F81E8">
              <w:rPr>
                <w:sz w:val="22"/>
                <w:szCs w:val="22"/>
              </w:rPr>
              <w:t xml:space="preserve">s investment into homelessness prevention and the increase in move on </w:t>
            </w:r>
            <w:r w:rsidR="64CCA8AF" w:rsidRPr="2C0F81E8">
              <w:rPr>
                <w:sz w:val="22"/>
                <w:szCs w:val="22"/>
              </w:rPr>
              <w:t>accommodation</w:t>
            </w:r>
            <w:r w:rsidR="3C6E25B0" w:rsidRPr="2C0F81E8">
              <w:rPr>
                <w:sz w:val="22"/>
                <w:szCs w:val="22"/>
              </w:rPr>
              <w:t xml:space="preserve"> the Council has delivered. </w:t>
            </w:r>
          </w:p>
        </w:tc>
        <w:tc>
          <w:tcPr>
            <w:tcW w:w="963" w:type="dxa"/>
            <w:shd w:val="clear" w:color="auto" w:fill="FFC000"/>
          </w:tcPr>
          <w:p w14:paraId="5A12A711" w14:textId="7CFBAB95" w:rsidR="6F981B25" w:rsidRDefault="6F981B25" w:rsidP="64CC32DE">
            <w:pPr>
              <w:rPr>
                <w:sz w:val="22"/>
                <w:szCs w:val="22"/>
              </w:rPr>
            </w:pPr>
          </w:p>
        </w:tc>
      </w:tr>
      <w:tr w:rsidR="6F981B25" w14:paraId="5F468BE1" w14:textId="77777777" w:rsidTr="2C0F81E8">
        <w:trPr>
          <w:trHeight w:val="300"/>
        </w:trPr>
        <w:tc>
          <w:tcPr>
            <w:tcW w:w="4017" w:type="dxa"/>
          </w:tcPr>
          <w:p w14:paraId="6200708B" w14:textId="266C30D0" w:rsidR="22870B10" w:rsidRDefault="38CFF01F" w:rsidP="64CC32DE">
            <w:pPr>
              <w:spacing w:line="279" w:lineRule="auto"/>
              <w:rPr>
                <w:sz w:val="22"/>
                <w:szCs w:val="22"/>
              </w:rPr>
            </w:pPr>
            <w:r w:rsidRPr="64CC32DE">
              <w:rPr>
                <w:sz w:val="22"/>
                <w:szCs w:val="22"/>
              </w:rPr>
              <w:t>Number of households in hotel accommodation</w:t>
            </w:r>
          </w:p>
        </w:tc>
        <w:tc>
          <w:tcPr>
            <w:tcW w:w="1255" w:type="dxa"/>
          </w:tcPr>
          <w:p w14:paraId="07ED16F7" w14:textId="343C0161" w:rsidR="0EE502BD" w:rsidRDefault="0EE502BD" w:rsidP="64CC32DE">
            <w:pPr>
              <w:rPr>
                <w:sz w:val="22"/>
                <w:szCs w:val="22"/>
              </w:rPr>
            </w:pPr>
            <w:r w:rsidRPr="64CC32DE">
              <w:rPr>
                <w:sz w:val="22"/>
                <w:szCs w:val="22"/>
              </w:rPr>
              <w:t>123</w:t>
            </w:r>
          </w:p>
        </w:tc>
        <w:tc>
          <w:tcPr>
            <w:tcW w:w="1312" w:type="dxa"/>
          </w:tcPr>
          <w:p w14:paraId="4084C1BC" w14:textId="2CA5DDFC" w:rsidR="6F981B25" w:rsidRDefault="0EE502BD" w:rsidP="64CC32DE">
            <w:pPr>
              <w:rPr>
                <w:sz w:val="22"/>
                <w:szCs w:val="22"/>
              </w:rPr>
            </w:pPr>
            <w:r w:rsidRPr="64CC32DE">
              <w:rPr>
                <w:sz w:val="22"/>
                <w:szCs w:val="22"/>
              </w:rPr>
              <w:t>105</w:t>
            </w:r>
          </w:p>
        </w:tc>
        <w:tc>
          <w:tcPr>
            <w:tcW w:w="6994" w:type="dxa"/>
          </w:tcPr>
          <w:p w14:paraId="5FD00EB3" w14:textId="44299D48" w:rsidR="6F981B25" w:rsidRDefault="08A3178E" w:rsidP="64CC32DE">
            <w:pPr>
              <w:rPr>
                <w:sz w:val="22"/>
                <w:szCs w:val="22"/>
              </w:rPr>
            </w:pPr>
            <w:r w:rsidRPr="2C0F81E8">
              <w:rPr>
                <w:sz w:val="22"/>
                <w:szCs w:val="22"/>
              </w:rPr>
              <w:t xml:space="preserve">Linked to the overall </w:t>
            </w:r>
            <w:r w:rsidR="3792FDFA" w:rsidRPr="2C0F81E8">
              <w:rPr>
                <w:sz w:val="22"/>
                <w:szCs w:val="22"/>
              </w:rPr>
              <w:t xml:space="preserve">reduction in TA </w:t>
            </w:r>
            <w:proofErr w:type="gramStart"/>
            <w:r w:rsidRPr="2C0F81E8">
              <w:rPr>
                <w:sz w:val="22"/>
                <w:szCs w:val="22"/>
              </w:rPr>
              <w:t>number</w:t>
            </w:r>
            <w:r w:rsidR="5B320F4E" w:rsidRPr="2C0F81E8">
              <w:rPr>
                <w:sz w:val="22"/>
                <w:szCs w:val="22"/>
              </w:rPr>
              <w:t>s</w:t>
            </w:r>
            <w:r w:rsidRPr="2C0F81E8">
              <w:rPr>
                <w:sz w:val="22"/>
                <w:szCs w:val="22"/>
              </w:rPr>
              <w:t xml:space="preserve"> ,</w:t>
            </w:r>
            <w:proofErr w:type="gramEnd"/>
            <w:r w:rsidRPr="2C0F81E8">
              <w:rPr>
                <w:sz w:val="22"/>
                <w:szCs w:val="22"/>
              </w:rPr>
              <w:t xml:space="preserve"> the number in hotel</w:t>
            </w:r>
            <w:r w:rsidR="725D0A3B" w:rsidRPr="2C0F81E8">
              <w:rPr>
                <w:sz w:val="22"/>
                <w:szCs w:val="22"/>
              </w:rPr>
              <w:t>s</w:t>
            </w:r>
            <w:r w:rsidRPr="2C0F81E8">
              <w:rPr>
                <w:sz w:val="22"/>
                <w:szCs w:val="22"/>
              </w:rPr>
              <w:t xml:space="preserve"> and Bn</w:t>
            </w:r>
            <w:r w:rsidR="5034837A" w:rsidRPr="2C0F81E8">
              <w:rPr>
                <w:sz w:val="22"/>
                <w:szCs w:val="22"/>
              </w:rPr>
              <w:t>B</w:t>
            </w:r>
            <w:r w:rsidRPr="2C0F81E8">
              <w:rPr>
                <w:sz w:val="22"/>
                <w:szCs w:val="22"/>
              </w:rPr>
              <w:t xml:space="preserve"> accommodation has also dropped. As well as the factors </w:t>
            </w:r>
            <w:r w:rsidR="77F89658" w:rsidRPr="2C0F81E8">
              <w:rPr>
                <w:sz w:val="22"/>
                <w:szCs w:val="22"/>
              </w:rPr>
              <w:t>mentioned</w:t>
            </w:r>
            <w:r w:rsidRPr="2C0F81E8">
              <w:rPr>
                <w:sz w:val="22"/>
                <w:szCs w:val="22"/>
              </w:rPr>
              <w:t xml:space="preserve"> in </w:t>
            </w:r>
            <w:r w:rsidR="777CF6DD" w:rsidRPr="2C0F81E8">
              <w:rPr>
                <w:sz w:val="22"/>
                <w:szCs w:val="22"/>
              </w:rPr>
              <w:t>the previous</w:t>
            </w:r>
            <w:r w:rsidRPr="2C0F81E8">
              <w:rPr>
                <w:sz w:val="22"/>
                <w:szCs w:val="22"/>
              </w:rPr>
              <w:t xml:space="preserve"> comment, the </w:t>
            </w:r>
            <w:r w:rsidR="032AFFA9" w:rsidRPr="2C0F81E8">
              <w:rPr>
                <w:sz w:val="22"/>
                <w:szCs w:val="22"/>
              </w:rPr>
              <w:t xml:space="preserve">drop in hotel placements </w:t>
            </w:r>
            <w:r w:rsidRPr="2C0F81E8">
              <w:rPr>
                <w:sz w:val="22"/>
                <w:szCs w:val="22"/>
              </w:rPr>
              <w:t xml:space="preserve">has been </w:t>
            </w:r>
            <w:r w:rsidR="0AE5A2F2" w:rsidRPr="2C0F81E8">
              <w:rPr>
                <w:sz w:val="22"/>
                <w:szCs w:val="22"/>
              </w:rPr>
              <w:t>further</w:t>
            </w:r>
            <w:r w:rsidRPr="2C0F81E8">
              <w:rPr>
                <w:sz w:val="22"/>
                <w:szCs w:val="22"/>
              </w:rPr>
              <w:t xml:space="preserve"> helped by the start of </w:t>
            </w:r>
            <w:r w:rsidR="42A4B1D1" w:rsidRPr="2C0F81E8">
              <w:rPr>
                <w:sz w:val="22"/>
                <w:szCs w:val="22"/>
              </w:rPr>
              <w:t>delivery</w:t>
            </w:r>
            <w:r w:rsidRPr="2C0F81E8">
              <w:rPr>
                <w:sz w:val="22"/>
                <w:szCs w:val="22"/>
              </w:rPr>
              <w:t xml:space="preserve"> o</w:t>
            </w:r>
            <w:r w:rsidR="170184C8" w:rsidRPr="2C0F81E8">
              <w:rPr>
                <w:sz w:val="22"/>
                <w:szCs w:val="22"/>
              </w:rPr>
              <w:t>f</w:t>
            </w:r>
            <w:r w:rsidRPr="2C0F81E8">
              <w:rPr>
                <w:sz w:val="22"/>
                <w:szCs w:val="22"/>
              </w:rPr>
              <w:t xml:space="preserve"> new PSL TA </w:t>
            </w:r>
            <w:r w:rsidR="18BF2ADF" w:rsidRPr="2C0F81E8">
              <w:rPr>
                <w:sz w:val="22"/>
                <w:szCs w:val="22"/>
              </w:rPr>
              <w:t>accommodation</w:t>
            </w:r>
            <w:r w:rsidRPr="2C0F81E8">
              <w:rPr>
                <w:sz w:val="22"/>
                <w:szCs w:val="22"/>
              </w:rPr>
              <w:t xml:space="preserve"> (see mitigation below</w:t>
            </w:r>
            <w:r w:rsidR="53752A2A" w:rsidRPr="2C0F81E8">
              <w:rPr>
                <w:sz w:val="22"/>
                <w:szCs w:val="22"/>
              </w:rPr>
              <w:t xml:space="preserve"> for explanation</w:t>
            </w:r>
            <w:r w:rsidRPr="2C0F81E8">
              <w:rPr>
                <w:sz w:val="22"/>
                <w:szCs w:val="22"/>
              </w:rPr>
              <w:t>).</w:t>
            </w:r>
            <w:r w:rsidR="36E52BE6" w:rsidRPr="2C0F81E8">
              <w:rPr>
                <w:sz w:val="22"/>
                <w:szCs w:val="22"/>
              </w:rPr>
              <w:t xml:space="preserve"> 105</w:t>
            </w:r>
            <w:r w:rsidR="1FD188EB" w:rsidRPr="2C0F81E8">
              <w:rPr>
                <w:sz w:val="22"/>
                <w:szCs w:val="22"/>
              </w:rPr>
              <w:t xml:space="preserve"> households</w:t>
            </w:r>
            <w:r w:rsidR="36E52BE6" w:rsidRPr="2C0F81E8">
              <w:rPr>
                <w:sz w:val="22"/>
                <w:szCs w:val="22"/>
              </w:rPr>
              <w:t xml:space="preserve"> in hotels </w:t>
            </w:r>
            <w:proofErr w:type="gramStart"/>
            <w:r w:rsidR="36E52BE6" w:rsidRPr="2C0F81E8">
              <w:rPr>
                <w:sz w:val="22"/>
                <w:szCs w:val="22"/>
              </w:rPr>
              <w:t>is</w:t>
            </w:r>
            <w:proofErr w:type="gramEnd"/>
            <w:r w:rsidR="36E52BE6" w:rsidRPr="2C0F81E8">
              <w:rPr>
                <w:sz w:val="22"/>
                <w:szCs w:val="22"/>
              </w:rPr>
              <w:t xml:space="preserve"> still a high number, so rated amber. </w:t>
            </w:r>
          </w:p>
        </w:tc>
        <w:tc>
          <w:tcPr>
            <w:tcW w:w="963" w:type="dxa"/>
            <w:shd w:val="clear" w:color="auto" w:fill="FFC000"/>
          </w:tcPr>
          <w:p w14:paraId="1599B636" w14:textId="151754E7" w:rsidR="6F981B25" w:rsidRDefault="6F981B25" w:rsidP="64CC32DE">
            <w:pPr>
              <w:rPr>
                <w:sz w:val="22"/>
                <w:szCs w:val="22"/>
              </w:rPr>
            </w:pPr>
          </w:p>
        </w:tc>
      </w:tr>
      <w:tr w:rsidR="6F981B25" w14:paraId="6C4EC048" w14:textId="77777777" w:rsidTr="2C0F81E8">
        <w:trPr>
          <w:trHeight w:val="300"/>
        </w:trPr>
        <w:tc>
          <w:tcPr>
            <w:tcW w:w="4017" w:type="dxa"/>
          </w:tcPr>
          <w:p w14:paraId="63B0E844" w14:textId="32E81A4A" w:rsidR="3F8331D3" w:rsidRDefault="38CFF01F" w:rsidP="64CC32DE">
            <w:pPr>
              <w:spacing w:line="279" w:lineRule="auto"/>
              <w:rPr>
                <w:sz w:val="22"/>
                <w:szCs w:val="22"/>
              </w:rPr>
            </w:pPr>
            <w:r w:rsidRPr="64CC32DE">
              <w:rPr>
                <w:sz w:val="22"/>
                <w:szCs w:val="22"/>
              </w:rPr>
              <w:t>Number of households with children in hotels over 6 weeks</w:t>
            </w:r>
          </w:p>
        </w:tc>
        <w:tc>
          <w:tcPr>
            <w:tcW w:w="1255" w:type="dxa"/>
          </w:tcPr>
          <w:p w14:paraId="2846D59D" w14:textId="4428EC6C" w:rsidR="4212A18C" w:rsidRDefault="4212A18C" w:rsidP="64CC32DE">
            <w:pPr>
              <w:rPr>
                <w:sz w:val="22"/>
                <w:szCs w:val="22"/>
              </w:rPr>
            </w:pPr>
            <w:r w:rsidRPr="64CC32DE">
              <w:rPr>
                <w:sz w:val="22"/>
                <w:szCs w:val="22"/>
              </w:rPr>
              <w:t>14</w:t>
            </w:r>
          </w:p>
        </w:tc>
        <w:tc>
          <w:tcPr>
            <w:tcW w:w="1312" w:type="dxa"/>
          </w:tcPr>
          <w:p w14:paraId="6091CEE6" w14:textId="400A6FD8" w:rsidR="6F981B25" w:rsidRDefault="4212A18C" w:rsidP="64CC32DE">
            <w:pPr>
              <w:rPr>
                <w:sz w:val="22"/>
                <w:szCs w:val="22"/>
              </w:rPr>
            </w:pPr>
            <w:r w:rsidRPr="64CC32DE">
              <w:rPr>
                <w:sz w:val="22"/>
                <w:szCs w:val="22"/>
              </w:rPr>
              <w:t>3</w:t>
            </w:r>
          </w:p>
        </w:tc>
        <w:tc>
          <w:tcPr>
            <w:tcW w:w="6994" w:type="dxa"/>
          </w:tcPr>
          <w:p w14:paraId="4E553041" w14:textId="2E1BED75" w:rsidR="6F981B25" w:rsidRDefault="3FE1DCA9" w:rsidP="64CC32DE">
            <w:pPr>
              <w:rPr>
                <w:sz w:val="22"/>
                <w:szCs w:val="22"/>
              </w:rPr>
            </w:pPr>
            <w:r w:rsidRPr="2C0F81E8">
              <w:rPr>
                <w:sz w:val="22"/>
                <w:szCs w:val="22"/>
              </w:rPr>
              <w:t xml:space="preserve">The Council has a </w:t>
            </w:r>
            <w:r w:rsidR="4CC9DF96" w:rsidRPr="2C0F81E8">
              <w:rPr>
                <w:sz w:val="22"/>
                <w:szCs w:val="22"/>
              </w:rPr>
              <w:t>responsibility</w:t>
            </w:r>
            <w:r w:rsidRPr="2C0F81E8">
              <w:rPr>
                <w:sz w:val="22"/>
                <w:szCs w:val="22"/>
              </w:rPr>
              <w:t xml:space="preserve"> to avoid hotel </w:t>
            </w:r>
            <w:r w:rsidR="16ED91B2" w:rsidRPr="2C0F81E8">
              <w:rPr>
                <w:sz w:val="22"/>
                <w:szCs w:val="22"/>
              </w:rPr>
              <w:t>placements</w:t>
            </w:r>
            <w:r w:rsidRPr="2C0F81E8">
              <w:rPr>
                <w:sz w:val="22"/>
                <w:szCs w:val="22"/>
              </w:rPr>
              <w:t xml:space="preserve"> for 6 weeks and over for </w:t>
            </w:r>
            <w:r w:rsidR="16E2710E" w:rsidRPr="2C0F81E8">
              <w:rPr>
                <w:sz w:val="22"/>
                <w:szCs w:val="22"/>
              </w:rPr>
              <w:t>households</w:t>
            </w:r>
            <w:r w:rsidRPr="2C0F81E8">
              <w:rPr>
                <w:sz w:val="22"/>
                <w:szCs w:val="22"/>
              </w:rPr>
              <w:t xml:space="preserve"> with children. We </w:t>
            </w:r>
            <w:r w:rsidR="4C880194" w:rsidRPr="2C0F81E8">
              <w:rPr>
                <w:sz w:val="22"/>
                <w:szCs w:val="22"/>
              </w:rPr>
              <w:t>ha</w:t>
            </w:r>
            <w:r w:rsidR="57D234FB" w:rsidRPr="2C0F81E8">
              <w:rPr>
                <w:sz w:val="22"/>
                <w:szCs w:val="22"/>
              </w:rPr>
              <w:t xml:space="preserve">d </w:t>
            </w:r>
            <w:r w:rsidRPr="2C0F81E8">
              <w:rPr>
                <w:sz w:val="22"/>
                <w:szCs w:val="22"/>
              </w:rPr>
              <w:t xml:space="preserve">14 </w:t>
            </w:r>
            <w:r w:rsidR="605A1846" w:rsidRPr="2C0F81E8">
              <w:rPr>
                <w:sz w:val="22"/>
                <w:szCs w:val="22"/>
              </w:rPr>
              <w:t>families</w:t>
            </w:r>
            <w:r w:rsidR="1F0F116C" w:rsidRPr="2C0F81E8">
              <w:rPr>
                <w:sz w:val="22"/>
                <w:szCs w:val="22"/>
              </w:rPr>
              <w:t xml:space="preserve"> in hotel </w:t>
            </w:r>
            <w:r w:rsidR="77F5E8D3" w:rsidRPr="2C0F81E8">
              <w:rPr>
                <w:sz w:val="22"/>
                <w:szCs w:val="22"/>
              </w:rPr>
              <w:t>accommodation</w:t>
            </w:r>
            <w:r w:rsidR="1F0F116C" w:rsidRPr="2C0F81E8">
              <w:rPr>
                <w:sz w:val="22"/>
                <w:szCs w:val="22"/>
              </w:rPr>
              <w:t xml:space="preserve"> </w:t>
            </w:r>
            <w:r w:rsidRPr="2C0F81E8">
              <w:rPr>
                <w:sz w:val="22"/>
                <w:szCs w:val="22"/>
              </w:rPr>
              <w:t xml:space="preserve">in </w:t>
            </w:r>
            <w:r w:rsidR="4814A0C3" w:rsidRPr="2C0F81E8">
              <w:rPr>
                <w:sz w:val="22"/>
                <w:szCs w:val="22"/>
              </w:rPr>
              <w:t>March</w:t>
            </w:r>
            <w:r w:rsidRPr="2C0F81E8">
              <w:rPr>
                <w:sz w:val="22"/>
                <w:szCs w:val="22"/>
              </w:rPr>
              <w:t xml:space="preserve">, </w:t>
            </w:r>
            <w:r w:rsidR="25FD737D" w:rsidRPr="2C0F81E8">
              <w:rPr>
                <w:sz w:val="22"/>
                <w:szCs w:val="22"/>
              </w:rPr>
              <w:t>whilst</w:t>
            </w:r>
            <w:r w:rsidRPr="2C0F81E8">
              <w:rPr>
                <w:sz w:val="22"/>
                <w:szCs w:val="22"/>
              </w:rPr>
              <w:t xml:space="preserve"> trying to source </w:t>
            </w:r>
            <w:r w:rsidR="3B942CD0" w:rsidRPr="2C0F81E8">
              <w:rPr>
                <w:sz w:val="22"/>
                <w:szCs w:val="22"/>
              </w:rPr>
              <w:t>accommodation</w:t>
            </w:r>
            <w:r w:rsidRPr="2C0F81E8">
              <w:rPr>
                <w:sz w:val="22"/>
                <w:szCs w:val="22"/>
              </w:rPr>
              <w:t xml:space="preserve"> for thos</w:t>
            </w:r>
            <w:r w:rsidR="3B6BF172" w:rsidRPr="2C0F81E8">
              <w:rPr>
                <w:sz w:val="22"/>
                <w:szCs w:val="22"/>
              </w:rPr>
              <w:t xml:space="preserve">e </w:t>
            </w:r>
            <w:r w:rsidR="240259ED" w:rsidRPr="2C0F81E8">
              <w:rPr>
                <w:sz w:val="22"/>
                <w:szCs w:val="22"/>
              </w:rPr>
              <w:t>families</w:t>
            </w:r>
            <w:r w:rsidRPr="2C0F81E8">
              <w:rPr>
                <w:sz w:val="22"/>
                <w:szCs w:val="22"/>
              </w:rPr>
              <w:t xml:space="preserve">. Since March a huge effort has led to this number </w:t>
            </w:r>
            <w:r w:rsidR="528CFA39" w:rsidRPr="2C0F81E8">
              <w:rPr>
                <w:sz w:val="22"/>
                <w:szCs w:val="22"/>
              </w:rPr>
              <w:t>coming</w:t>
            </w:r>
            <w:r w:rsidRPr="2C0F81E8">
              <w:rPr>
                <w:sz w:val="22"/>
                <w:szCs w:val="22"/>
              </w:rPr>
              <w:t xml:space="preserve"> down </w:t>
            </w:r>
            <w:r w:rsidR="3ECBC80A" w:rsidRPr="2C0F81E8">
              <w:rPr>
                <w:sz w:val="22"/>
                <w:szCs w:val="22"/>
              </w:rPr>
              <w:t>significantly</w:t>
            </w:r>
            <w:r w:rsidR="35C4AC91" w:rsidRPr="2C0F81E8">
              <w:rPr>
                <w:sz w:val="22"/>
                <w:szCs w:val="22"/>
              </w:rPr>
              <w:t xml:space="preserve"> </w:t>
            </w:r>
            <w:r w:rsidRPr="2C0F81E8">
              <w:rPr>
                <w:sz w:val="22"/>
                <w:szCs w:val="22"/>
              </w:rPr>
              <w:t>to 3, due to the measures on pr</w:t>
            </w:r>
            <w:r w:rsidR="215C44AE" w:rsidRPr="2C0F81E8">
              <w:rPr>
                <w:sz w:val="22"/>
                <w:szCs w:val="22"/>
              </w:rPr>
              <w:t xml:space="preserve">evention and move on. Rated amber until we reach zero. </w:t>
            </w:r>
          </w:p>
        </w:tc>
        <w:tc>
          <w:tcPr>
            <w:tcW w:w="963" w:type="dxa"/>
            <w:shd w:val="clear" w:color="auto" w:fill="FFC000"/>
          </w:tcPr>
          <w:p w14:paraId="41CE7E93" w14:textId="19314C09" w:rsidR="6F981B25" w:rsidRDefault="6F981B25" w:rsidP="64CC32DE">
            <w:pPr>
              <w:rPr>
                <w:sz w:val="22"/>
                <w:szCs w:val="22"/>
              </w:rPr>
            </w:pPr>
          </w:p>
        </w:tc>
      </w:tr>
      <w:tr w:rsidR="6F981B25" w14:paraId="48D5D192" w14:textId="77777777" w:rsidTr="2C0F81E8">
        <w:trPr>
          <w:trHeight w:val="300"/>
        </w:trPr>
        <w:tc>
          <w:tcPr>
            <w:tcW w:w="4017" w:type="dxa"/>
          </w:tcPr>
          <w:p w14:paraId="4D0E0B33" w14:textId="74F283DD" w:rsidR="38CEEBDF" w:rsidRDefault="38CFF01F" w:rsidP="64CC32DE">
            <w:pPr>
              <w:spacing w:line="279" w:lineRule="auto"/>
              <w:rPr>
                <w:sz w:val="22"/>
                <w:szCs w:val="22"/>
              </w:rPr>
            </w:pPr>
            <w:r w:rsidRPr="64CC32DE">
              <w:rPr>
                <w:sz w:val="22"/>
                <w:szCs w:val="22"/>
              </w:rPr>
              <w:t>Current weekly placement rate into temporary accommodation</w:t>
            </w:r>
            <w:r w:rsidR="673E5520" w:rsidRPr="64CC32DE">
              <w:rPr>
                <w:sz w:val="22"/>
                <w:szCs w:val="22"/>
              </w:rPr>
              <w:t xml:space="preserve"> (number of households)</w:t>
            </w:r>
          </w:p>
        </w:tc>
        <w:tc>
          <w:tcPr>
            <w:tcW w:w="1255" w:type="dxa"/>
          </w:tcPr>
          <w:p w14:paraId="28FA7E2F" w14:textId="4AB96B98" w:rsidR="673E5520" w:rsidRDefault="673E5520" w:rsidP="64CC32DE">
            <w:pPr>
              <w:rPr>
                <w:sz w:val="22"/>
                <w:szCs w:val="22"/>
              </w:rPr>
            </w:pPr>
            <w:r w:rsidRPr="64CC32DE">
              <w:rPr>
                <w:sz w:val="22"/>
                <w:szCs w:val="22"/>
              </w:rPr>
              <w:t>10.18 (Oct 23 to Mar 24)</w:t>
            </w:r>
          </w:p>
        </w:tc>
        <w:tc>
          <w:tcPr>
            <w:tcW w:w="1312" w:type="dxa"/>
          </w:tcPr>
          <w:p w14:paraId="3B37289E" w14:textId="7C4F7E86" w:rsidR="6F981B25" w:rsidRDefault="673E5520" w:rsidP="64CC32DE">
            <w:pPr>
              <w:rPr>
                <w:sz w:val="22"/>
                <w:szCs w:val="22"/>
              </w:rPr>
            </w:pPr>
            <w:r w:rsidRPr="64CC32DE">
              <w:rPr>
                <w:sz w:val="22"/>
                <w:szCs w:val="22"/>
              </w:rPr>
              <w:t>8.71 (April to Sep)</w:t>
            </w:r>
          </w:p>
        </w:tc>
        <w:tc>
          <w:tcPr>
            <w:tcW w:w="6994" w:type="dxa"/>
          </w:tcPr>
          <w:p w14:paraId="2997EC1B" w14:textId="2D5F329D" w:rsidR="6F981B25" w:rsidRDefault="2D9571CF" w:rsidP="64CC32DE">
            <w:pPr>
              <w:rPr>
                <w:sz w:val="22"/>
                <w:szCs w:val="22"/>
              </w:rPr>
            </w:pPr>
            <w:r w:rsidRPr="2C0F81E8">
              <w:rPr>
                <w:sz w:val="22"/>
                <w:szCs w:val="22"/>
              </w:rPr>
              <w:t xml:space="preserve">The placement rate </w:t>
            </w:r>
            <w:r w:rsidR="1AC3A022" w:rsidRPr="2C0F81E8">
              <w:rPr>
                <w:sz w:val="22"/>
                <w:szCs w:val="22"/>
              </w:rPr>
              <w:t xml:space="preserve">in TA </w:t>
            </w:r>
            <w:r w:rsidRPr="2C0F81E8">
              <w:rPr>
                <w:sz w:val="22"/>
                <w:szCs w:val="22"/>
              </w:rPr>
              <w:t xml:space="preserve">remains at a </w:t>
            </w:r>
            <w:r w:rsidR="634D5D9C" w:rsidRPr="2C0F81E8">
              <w:rPr>
                <w:sz w:val="22"/>
                <w:szCs w:val="22"/>
              </w:rPr>
              <w:t xml:space="preserve">very </w:t>
            </w:r>
            <w:r w:rsidRPr="2C0F81E8">
              <w:rPr>
                <w:sz w:val="22"/>
                <w:szCs w:val="22"/>
              </w:rPr>
              <w:t xml:space="preserve">high </w:t>
            </w:r>
            <w:r w:rsidR="0E110281" w:rsidRPr="2C0F81E8">
              <w:rPr>
                <w:sz w:val="22"/>
                <w:szCs w:val="22"/>
              </w:rPr>
              <w:t>level, despite</w:t>
            </w:r>
            <w:r w:rsidRPr="2C0F81E8">
              <w:rPr>
                <w:sz w:val="22"/>
                <w:szCs w:val="22"/>
              </w:rPr>
              <w:t xml:space="preserve"> a small drop since March. It means we place 8-9 </w:t>
            </w:r>
            <w:r w:rsidR="354A1DEC" w:rsidRPr="2C0F81E8">
              <w:rPr>
                <w:sz w:val="22"/>
                <w:szCs w:val="22"/>
              </w:rPr>
              <w:t>households</w:t>
            </w:r>
            <w:r w:rsidRPr="2C0F81E8">
              <w:rPr>
                <w:sz w:val="22"/>
                <w:szCs w:val="22"/>
              </w:rPr>
              <w:t xml:space="preserve"> on average a week into TA, when</w:t>
            </w:r>
            <w:r w:rsidR="580A59D4" w:rsidRPr="2C0F81E8">
              <w:rPr>
                <w:sz w:val="22"/>
                <w:szCs w:val="22"/>
              </w:rPr>
              <w:t xml:space="preserve"> the </w:t>
            </w:r>
            <w:r w:rsidR="212554E9" w:rsidRPr="2C0F81E8">
              <w:rPr>
                <w:sz w:val="22"/>
                <w:szCs w:val="22"/>
              </w:rPr>
              <w:t>historic</w:t>
            </w:r>
            <w:r w:rsidR="580A59D4" w:rsidRPr="2C0F81E8">
              <w:rPr>
                <w:sz w:val="22"/>
                <w:szCs w:val="22"/>
              </w:rPr>
              <w:t xml:space="preserve"> average was more like 3-4. </w:t>
            </w:r>
            <w:r w:rsidR="55734BFE" w:rsidRPr="2C0F81E8">
              <w:rPr>
                <w:sz w:val="22"/>
                <w:szCs w:val="22"/>
              </w:rPr>
              <w:t xml:space="preserve">We are investing into prevention services to try to lower it, but </w:t>
            </w:r>
            <w:r w:rsidR="7EA1C4EF" w:rsidRPr="2C0F81E8">
              <w:rPr>
                <w:sz w:val="22"/>
                <w:szCs w:val="22"/>
              </w:rPr>
              <w:t>fundamentally</w:t>
            </w:r>
            <w:r w:rsidR="55734BFE" w:rsidRPr="2C0F81E8">
              <w:rPr>
                <w:sz w:val="22"/>
                <w:szCs w:val="22"/>
              </w:rPr>
              <w:t xml:space="preserve"> it</w:t>
            </w:r>
            <w:r w:rsidR="5B7DE40D" w:rsidRPr="2C0F81E8">
              <w:rPr>
                <w:sz w:val="22"/>
                <w:szCs w:val="22"/>
              </w:rPr>
              <w:t>’</w:t>
            </w:r>
            <w:r w:rsidR="55734BFE" w:rsidRPr="2C0F81E8">
              <w:rPr>
                <w:sz w:val="22"/>
                <w:szCs w:val="22"/>
              </w:rPr>
              <w:t xml:space="preserve">s influenced by the </w:t>
            </w:r>
            <w:r w:rsidR="2E99ABA9" w:rsidRPr="2C0F81E8">
              <w:rPr>
                <w:sz w:val="22"/>
                <w:szCs w:val="22"/>
              </w:rPr>
              <w:t>housing</w:t>
            </w:r>
            <w:r w:rsidR="55734BFE" w:rsidRPr="2C0F81E8">
              <w:rPr>
                <w:sz w:val="22"/>
                <w:szCs w:val="22"/>
              </w:rPr>
              <w:t xml:space="preserve"> market and </w:t>
            </w:r>
            <w:r w:rsidR="47260742" w:rsidRPr="2C0F81E8">
              <w:rPr>
                <w:sz w:val="22"/>
                <w:szCs w:val="22"/>
              </w:rPr>
              <w:t>government</w:t>
            </w:r>
            <w:r w:rsidR="55734BFE" w:rsidRPr="2C0F81E8">
              <w:rPr>
                <w:sz w:val="22"/>
                <w:szCs w:val="22"/>
              </w:rPr>
              <w:t xml:space="preserve"> policy, with major sources of homelessness in the city being PRS </w:t>
            </w:r>
            <w:r w:rsidR="4DAA0F54" w:rsidRPr="2C0F81E8">
              <w:rPr>
                <w:sz w:val="22"/>
                <w:szCs w:val="22"/>
              </w:rPr>
              <w:t>evictions</w:t>
            </w:r>
            <w:r w:rsidR="55734BFE" w:rsidRPr="2C0F81E8">
              <w:rPr>
                <w:sz w:val="22"/>
                <w:szCs w:val="22"/>
              </w:rPr>
              <w:t xml:space="preserve"> l</w:t>
            </w:r>
            <w:r w:rsidR="6BD7E2F0" w:rsidRPr="2C0F81E8">
              <w:rPr>
                <w:sz w:val="22"/>
                <w:szCs w:val="22"/>
              </w:rPr>
              <w:t xml:space="preserve">inked to high rental </w:t>
            </w:r>
            <w:r w:rsidR="099E5235" w:rsidRPr="2C0F81E8">
              <w:rPr>
                <w:sz w:val="22"/>
                <w:szCs w:val="22"/>
              </w:rPr>
              <w:t>inflation</w:t>
            </w:r>
            <w:r w:rsidR="6BD7E2F0" w:rsidRPr="2C0F81E8">
              <w:rPr>
                <w:sz w:val="22"/>
                <w:szCs w:val="22"/>
              </w:rPr>
              <w:t xml:space="preserve">, and </w:t>
            </w:r>
            <w:r w:rsidR="6AF818FB" w:rsidRPr="2C0F81E8">
              <w:rPr>
                <w:sz w:val="22"/>
                <w:szCs w:val="22"/>
              </w:rPr>
              <w:t xml:space="preserve">evictions </w:t>
            </w:r>
            <w:r w:rsidR="6BD7E2F0" w:rsidRPr="2C0F81E8">
              <w:rPr>
                <w:sz w:val="22"/>
                <w:szCs w:val="22"/>
              </w:rPr>
              <w:t xml:space="preserve">from a Home Office </w:t>
            </w:r>
            <w:r w:rsidR="200F7FF4" w:rsidRPr="2C0F81E8">
              <w:rPr>
                <w:sz w:val="22"/>
                <w:szCs w:val="22"/>
              </w:rPr>
              <w:t>Asylum</w:t>
            </w:r>
            <w:r w:rsidR="6BD7E2F0" w:rsidRPr="2C0F81E8">
              <w:rPr>
                <w:sz w:val="22"/>
                <w:szCs w:val="22"/>
              </w:rPr>
              <w:t xml:space="preserve"> hotel.</w:t>
            </w:r>
          </w:p>
        </w:tc>
        <w:tc>
          <w:tcPr>
            <w:tcW w:w="963" w:type="dxa"/>
            <w:shd w:val="clear" w:color="auto" w:fill="FF0000"/>
          </w:tcPr>
          <w:p w14:paraId="2A6C8DD2" w14:textId="37934361" w:rsidR="6F981B25" w:rsidRDefault="6F981B25" w:rsidP="64CC32DE">
            <w:pPr>
              <w:rPr>
                <w:sz w:val="22"/>
                <w:szCs w:val="22"/>
              </w:rPr>
            </w:pPr>
          </w:p>
        </w:tc>
      </w:tr>
      <w:tr w:rsidR="6F981B25" w14:paraId="76BA1E5E" w14:textId="77777777" w:rsidTr="2C0F81E8">
        <w:trPr>
          <w:trHeight w:val="300"/>
        </w:trPr>
        <w:tc>
          <w:tcPr>
            <w:tcW w:w="4017" w:type="dxa"/>
          </w:tcPr>
          <w:p w14:paraId="25298C3C" w14:textId="01900AA8" w:rsidR="38CEEBDF" w:rsidRDefault="38CFF01F" w:rsidP="64CC32DE">
            <w:pPr>
              <w:spacing w:line="279" w:lineRule="auto"/>
              <w:rPr>
                <w:sz w:val="22"/>
                <w:szCs w:val="22"/>
              </w:rPr>
            </w:pPr>
            <w:r w:rsidRPr="64CC32DE">
              <w:rPr>
                <w:sz w:val="22"/>
                <w:szCs w:val="22"/>
              </w:rPr>
              <w:t>Number of accepted homelessness relief cases</w:t>
            </w:r>
            <w:r w:rsidR="2ECA72F4" w:rsidRPr="64CC32DE">
              <w:rPr>
                <w:sz w:val="22"/>
                <w:szCs w:val="22"/>
              </w:rPr>
              <w:t xml:space="preserve"> per quarter</w:t>
            </w:r>
            <w:r w:rsidRPr="64CC32DE">
              <w:rPr>
                <w:sz w:val="22"/>
                <w:szCs w:val="22"/>
              </w:rPr>
              <w:t xml:space="preserve"> (most recent </w:t>
            </w:r>
            <w:r w:rsidR="5EF90B2D" w:rsidRPr="64CC32DE">
              <w:rPr>
                <w:sz w:val="22"/>
                <w:szCs w:val="22"/>
              </w:rPr>
              <w:t>published q</w:t>
            </w:r>
            <w:r w:rsidR="373DF74F" w:rsidRPr="64CC32DE">
              <w:rPr>
                <w:sz w:val="22"/>
                <w:szCs w:val="22"/>
              </w:rPr>
              <w:t>uarter</w:t>
            </w:r>
            <w:r w:rsidRPr="64CC32DE">
              <w:rPr>
                <w:sz w:val="22"/>
                <w:szCs w:val="22"/>
              </w:rPr>
              <w:t>)</w:t>
            </w:r>
          </w:p>
        </w:tc>
        <w:tc>
          <w:tcPr>
            <w:tcW w:w="1255" w:type="dxa"/>
          </w:tcPr>
          <w:p w14:paraId="05CA4D7D" w14:textId="658591E6" w:rsidR="23341593" w:rsidRDefault="23341593" w:rsidP="64CC32DE">
            <w:pPr>
              <w:rPr>
                <w:sz w:val="22"/>
                <w:szCs w:val="22"/>
              </w:rPr>
            </w:pPr>
            <w:r w:rsidRPr="64CC32DE">
              <w:rPr>
                <w:sz w:val="22"/>
                <w:szCs w:val="22"/>
              </w:rPr>
              <w:t>103 (Q4 23/24)</w:t>
            </w:r>
          </w:p>
        </w:tc>
        <w:tc>
          <w:tcPr>
            <w:tcW w:w="1312" w:type="dxa"/>
          </w:tcPr>
          <w:p w14:paraId="51549F63" w14:textId="0BE3807C" w:rsidR="6F981B25" w:rsidRDefault="23341593" w:rsidP="64CC32DE">
            <w:pPr>
              <w:rPr>
                <w:sz w:val="22"/>
                <w:szCs w:val="22"/>
              </w:rPr>
            </w:pPr>
            <w:r w:rsidRPr="64CC32DE">
              <w:rPr>
                <w:sz w:val="22"/>
                <w:szCs w:val="22"/>
              </w:rPr>
              <w:t>109 (Q1 24/25)</w:t>
            </w:r>
          </w:p>
        </w:tc>
        <w:tc>
          <w:tcPr>
            <w:tcW w:w="6994" w:type="dxa"/>
          </w:tcPr>
          <w:p w14:paraId="2144CE28" w14:textId="1C5F7902" w:rsidR="6F981B25" w:rsidRDefault="0711F38E" w:rsidP="29EE79A3">
            <w:pPr>
              <w:spacing w:line="279" w:lineRule="auto"/>
              <w:rPr>
                <w:sz w:val="22"/>
                <w:szCs w:val="22"/>
              </w:rPr>
            </w:pPr>
            <w:r w:rsidRPr="2C0F81E8">
              <w:rPr>
                <w:sz w:val="22"/>
                <w:szCs w:val="22"/>
              </w:rPr>
              <w:t xml:space="preserve">The number of accepted homelessness </w:t>
            </w:r>
            <w:r w:rsidR="0FF90DD5" w:rsidRPr="2C0F81E8">
              <w:rPr>
                <w:sz w:val="22"/>
                <w:szCs w:val="22"/>
              </w:rPr>
              <w:t xml:space="preserve">relief </w:t>
            </w:r>
            <w:r w:rsidRPr="2C0F81E8">
              <w:rPr>
                <w:sz w:val="22"/>
                <w:szCs w:val="22"/>
              </w:rPr>
              <w:t xml:space="preserve">cases </w:t>
            </w:r>
            <w:r w:rsidR="535354F1" w:rsidRPr="2C0F81E8">
              <w:rPr>
                <w:sz w:val="22"/>
                <w:szCs w:val="22"/>
              </w:rPr>
              <w:t>remains</w:t>
            </w:r>
            <w:r w:rsidRPr="2C0F81E8">
              <w:rPr>
                <w:sz w:val="22"/>
                <w:szCs w:val="22"/>
              </w:rPr>
              <w:t xml:space="preserve"> at </w:t>
            </w:r>
            <w:r w:rsidR="4C8B32E8" w:rsidRPr="2C0F81E8">
              <w:rPr>
                <w:sz w:val="22"/>
                <w:szCs w:val="22"/>
              </w:rPr>
              <w:t xml:space="preserve">historic </w:t>
            </w:r>
            <w:r w:rsidRPr="2C0F81E8">
              <w:rPr>
                <w:sz w:val="22"/>
                <w:szCs w:val="22"/>
              </w:rPr>
              <w:t xml:space="preserve">highs in Oxford, linked </w:t>
            </w:r>
            <w:r w:rsidR="5C06C007" w:rsidRPr="2C0F81E8">
              <w:rPr>
                <w:sz w:val="22"/>
                <w:szCs w:val="22"/>
              </w:rPr>
              <w:t>to</w:t>
            </w:r>
            <w:r w:rsidRPr="2C0F81E8">
              <w:rPr>
                <w:sz w:val="22"/>
                <w:szCs w:val="22"/>
              </w:rPr>
              <w:t xml:space="preserve"> factors explained in </w:t>
            </w:r>
            <w:r w:rsidR="69EFFC8F" w:rsidRPr="2C0F81E8">
              <w:rPr>
                <w:sz w:val="22"/>
                <w:szCs w:val="22"/>
              </w:rPr>
              <w:t xml:space="preserve">the </w:t>
            </w:r>
            <w:r w:rsidRPr="2C0F81E8">
              <w:rPr>
                <w:sz w:val="22"/>
                <w:szCs w:val="22"/>
              </w:rPr>
              <w:t xml:space="preserve">previous comment. Two years </w:t>
            </w:r>
            <w:proofErr w:type="gramStart"/>
            <w:r w:rsidRPr="2C0F81E8">
              <w:rPr>
                <w:sz w:val="22"/>
                <w:szCs w:val="22"/>
              </w:rPr>
              <w:t>ago</w:t>
            </w:r>
            <w:proofErr w:type="gramEnd"/>
            <w:r w:rsidRPr="2C0F81E8">
              <w:rPr>
                <w:sz w:val="22"/>
                <w:szCs w:val="22"/>
              </w:rPr>
              <w:t xml:space="preserve"> we typically </w:t>
            </w:r>
            <w:r w:rsidR="7F0B0805" w:rsidRPr="2C0F81E8">
              <w:rPr>
                <w:sz w:val="22"/>
                <w:szCs w:val="22"/>
              </w:rPr>
              <w:t>accepted</w:t>
            </w:r>
            <w:r w:rsidRPr="2C0F81E8">
              <w:rPr>
                <w:sz w:val="22"/>
                <w:szCs w:val="22"/>
              </w:rPr>
              <w:t xml:space="preserve"> 30-40 </w:t>
            </w:r>
            <w:r w:rsidR="0D6E8986" w:rsidRPr="2C0F81E8">
              <w:rPr>
                <w:sz w:val="22"/>
                <w:szCs w:val="22"/>
              </w:rPr>
              <w:t>relief</w:t>
            </w:r>
            <w:r w:rsidRPr="2C0F81E8">
              <w:rPr>
                <w:sz w:val="22"/>
                <w:szCs w:val="22"/>
              </w:rPr>
              <w:t xml:space="preserve"> cases a </w:t>
            </w:r>
            <w:r w:rsidR="24C16FD9" w:rsidRPr="2C0F81E8">
              <w:rPr>
                <w:sz w:val="22"/>
                <w:szCs w:val="22"/>
              </w:rPr>
              <w:t>quarter</w:t>
            </w:r>
            <w:r w:rsidRPr="2C0F81E8">
              <w:rPr>
                <w:sz w:val="22"/>
                <w:szCs w:val="22"/>
              </w:rPr>
              <w:t xml:space="preserve">, we accepted 109 last quarter, which </w:t>
            </w:r>
            <w:r w:rsidR="0E0C7513" w:rsidRPr="2C0F81E8">
              <w:rPr>
                <w:sz w:val="22"/>
                <w:szCs w:val="22"/>
              </w:rPr>
              <w:t xml:space="preserve">demonstrates </w:t>
            </w:r>
            <w:r w:rsidRPr="2C0F81E8">
              <w:rPr>
                <w:sz w:val="22"/>
                <w:szCs w:val="22"/>
              </w:rPr>
              <w:t>th</w:t>
            </w:r>
            <w:r w:rsidR="06EB22EF" w:rsidRPr="2C0F81E8">
              <w:rPr>
                <w:sz w:val="22"/>
                <w:szCs w:val="22"/>
              </w:rPr>
              <w:t>e</w:t>
            </w:r>
            <w:r w:rsidR="22353477" w:rsidRPr="2C0F81E8">
              <w:rPr>
                <w:sz w:val="22"/>
                <w:szCs w:val="22"/>
              </w:rPr>
              <w:t xml:space="preserve"> high</w:t>
            </w:r>
            <w:r w:rsidR="06EB22EF" w:rsidRPr="2C0F81E8">
              <w:rPr>
                <w:sz w:val="22"/>
                <w:szCs w:val="22"/>
              </w:rPr>
              <w:t xml:space="preserve"> levels of homelessness in the city. It</w:t>
            </w:r>
            <w:r w:rsidR="716582F8" w:rsidRPr="2C0F81E8">
              <w:rPr>
                <w:sz w:val="22"/>
                <w:szCs w:val="22"/>
              </w:rPr>
              <w:t>’</w:t>
            </w:r>
            <w:r w:rsidR="06EB22EF" w:rsidRPr="2C0F81E8">
              <w:rPr>
                <w:sz w:val="22"/>
                <w:szCs w:val="22"/>
              </w:rPr>
              <w:t xml:space="preserve">s putting </w:t>
            </w:r>
            <w:r w:rsidR="538F2377" w:rsidRPr="2C0F81E8">
              <w:rPr>
                <w:sz w:val="22"/>
                <w:szCs w:val="22"/>
              </w:rPr>
              <w:t>considerable</w:t>
            </w:r>
            <w:r w:rsidR="06EB22EF" w:rsidRPr="2C0F81E8">
              <w:rPr>
                <w:sz w:val="22"/>
                <w:szCs w:val="22"/>
              </w:rPr>
              <w:t xml:space="preserve"> strain on </w:t>
            </w:r>
            <w:r w:rsidR="4B4C7F25" w:rsidRPr="2C0F81E8">
              <w:rPr>
                <w:sz w:val="22"/>
                <w:szCs w:val="22"/>
              </w:rPr>
              <w:t xml:space="preserve">the </w:t>
            </w:r>
            <w:r w:rsidR="4B4C7F25" w:rsidRPr="2C0F81E8">
              <w:rPr>
                <w:sz w:val="22"/>
                <w:szCs w:val="22"/>
              </w:rPr>
              <w:lastRenderedPageBreak/>
              <w:t>Housing</w:t>
            </w:r>
            <w:r w:rsidR="06EB22EF" w:rsidRPr="2C0F81E8">
              <w:rPr>
                <w:sz w:val="22"/>
                <w:szCs w:val="22"/>
              </w:rPr>
              <w:t xml:space="preserve"> Needs</w:t>
            </w:r>
            <w:r w:rsidR="10316E33" w:rsidRPr="2C0F81E8">
              <w:rPr>
                <w:sz w:val="22"/>
                <w:szCs w:val="22"/>
              </w:rPr>
              <w:t xml:space="preserve"> Team</w:t>
            </w:r>
            <w:r w:rsidR="06EB22EF" w:rsidRPr="2C0F81E8">
              <w:rPr>
                <w:sz w:val="22"/>
                <w:szCs w:val="22"/>
              </w:rPr>
              <w:t xml:space="preserve"> to be able to support the increased number of </w:t>
            </w:r>
            <w:r w:rsidR="6D4D414A" w:rsidRPr="2C0F81E8">
              <w:rPr>
                <w:sz w:val="22"/>
                <w:szCs w:val="22"/>
              </w:rPr>
              <w:t>households</w:t>
            </w:r>
            <w:r w:rsidR="06EB22EF" w:rsidRPr="2C0F81E8">
              <w:rPr>
                <w:sz w:val="22"/>
                <w:szCs w:val="22"/>
              </w:rPr>
              <w:t xml:space="preserve"> </w:t>
            </w:r>
            <w:r w:rsidR="55664E12" w:rsidRPr="2C0F81E8">
              <w:rPr>
                <w:sz w:val="22"/>
                <w:szCs w:val="22"/>
              </w:rPr>
              <w:t>approaching</w:t>
            </w:r>
            <w:r w:rsidR="06EB22EF" w:rsidRPr="2C0F81E8">
              <w:rPr>
                <w:sz w:val="22"/>
                <w:szCs w:val="22"/>
              </w:rPr>
              <w:t xml:space="preserve"> us</w:t>
            </w:r>
            <w:r w:rsidR="446E779A" w:rsidRPr="2C0F81E8">
              <w:rPr>
                <w:sz w:val="22"/>
                <w:szCs w:val="22"/>
              </w:rPr>
              <w:t xml:space="preserve">, but staffing has been increased. </w:t>
            </w:r>
          </w:p>
        </w:tc>
        <w:tc>
          <w:tcPr>
            <w:tcW w:w="963" w:type="dxa"/>
            <w:shd w:val="clear" w:color="auto" w:fill="FF0000"/>
          </w:tcPr>
          <w:p w14:paraId="61BB3523" w14:textId="38FD75BE" w:rsidR="6F981B25" w:rsidRDefault="6F981B25" w:rsidP="64CC32DE">
            <w:pPr>
              <w:rPr>
                <w:sz w:val="22"/>
                <w:szCs w:val="22"/>
              </w:rPr>
            </w:pPr>
          </w:p>
        </w:tc>
      </w:tr>
    </w:tbl>
    <w:p w14:paraId="0CA78E28" w14:textId="18E34A06" w:rsidR="64CC32DE" w:rsidRDefault="64CC32DE"/>
    <w:p w14:paraId="1C400BE6" w14:textId="571AF46F" w:rsidR="6F981B25" w:rsidRDefault="6F981B25"/>
    <w:tbl>
      <w:tblPr>
        <w:tblStyle w:val="TableGrid"/>
        <w:tblW w:w="14537" w:type="dxa"/>
        <w:tblLook w:val="06A0" w:firstRow="1" w:lastRow="0" w:firstColumn="1" w:lastColumn="0" w:noHBand="1" w:noVBand="1"/>
      </w:tblPr>
      <w:tblGrid>
        <w:gridCol w:w="1608"/>
        <w:gridCol w:w="3515"/>
        <w:gridCol w:w="1511"/>
        <w:gridCol w:w="6915"/>
        <w:gridCol w:w="988"/>
      </w:tblGrid>
      <w:tr w:rsidR="64CC32DE" w14:paraId="091CA1EA" w14:textId="77777777" w:rsidTr="2C0F81E8">
        <w:trPr>
          <w:trHeight w:val="300"/>
        </w:trPr>
        <w:tc>
          <w:tcPr>
            <w:tcW w:w="14537" w:type="dxa"/>
            <w:gridSpan w:val="5"/>
            <w:shd w:val="clear" w:color="auto" w:fill="A5C9EB" w:themeFill="text2" w:themeFillTint="40"/>
          </w:tcPr>
          <w:p w14:paraId="17273B88" w14:textId="504543AD" w:rsidR="64CC32DE" w:rsidRDefault="64CC32DE" w:rsidP="29EE79A3">
            <w:pPr>
              <w:spacing w:line="279" w:lineRule="auto"/>
              <w:rPr>
                <w:b/>
                <w:bCs/>
                <w:sz w:val="22"/>
                <w:szCs w:val="22"/>
              </w:rPr>
            </w:pPr>
            <w:r w:rsidRPr="29EE79A3">
              <w:rPr>
                <w:b/>
                <w:bCs/>
                <w:sz w:val="22"/>
                <w:szCs w:val="22"/>
              </w:rPr>
              <w:t xml:space="preserve">Temporary </w:t>
            </w:r>
            <w:r w:rsidR="673902F5" w:rsidRPr="29EE79A3">
              <w:rPr>
                <w:b/>
                <w:bCs/>
                <w:sz w:val="22"/>
                <w:szCs w:val="22"/>
              </w:rPr>
              <w:t>Accommodation</w:t>
            </w:r>
            <w:r w:rsidRPr="29EE79A3">
              <w:rPr>
                <w:b/>
                <w:bCs/>
                <w:sz w:val="22"/>
                <w:szCs w:val="22"/>
              </w:rPr>
              <w:t xml:space="preserve"> </w:t>
            </w:r>
            <w:r w:rsidR="344CC1E6" w:rsidRPr="29EE79A3">
              <w:rPr>
                <w:b/>
                <w:bCs/>
                <w:sz w:val="22"/>
                <w:szCs w:val="22"/>
              </w:rPr>
              <w:t xml:space="preserve">Demand </w:t>
            </w:r>
            <w:r w:rsidR="0C54DE20" w:rsidRPr="29EE79A3">
              <w:rPr>
                <w:b/>
                <w:bCs/>
                <w:sz w:val="22"/>
                <w:szCs w:val="22"/>
              </w:rPr>
              <w:t>Mitigations</w:t>
            </w:r>
          </w:p>
        </w:tc>
      </w:tr>
      <w:tr w:rsidR="64CC32DE" w14:paraId="19BAD769" w14:textId="77777777" w:rsidTr="2C0F81E8">
        <w:trPr>
          <w:trHeight w:val="300"/>
        </w:trPr>
        <w:tc>
          <w:tcPr>
            <w:tcW w:w="1608" w:type="dxa"/>
            <w:shd w:val="clear" w:color="auto" w:fill="A5C9EB" w:themeFill="text2" w:themeFillTint="40"/>
          </w:tcPr>
          <w:p w14:paraId="4824D38C" w14:textId="12B27F88" w:rsidR="64CC32DE" w:rsidRDefault="64CC32DE" w:rsidP="64CC32DE">
            <w:pPr>
              <w:spacing w:line="279" w:lineRule="auto"/>
              <w:rPr>
                <w:sz w:val="22"/>
                <w:szCs w:val="22"/>
              </w:rPr>
            </w:pPr>
            <w:r w:rsidRPr="64CC32DE">
              <w:rPr>
                <w:sz w:val="22"/>
                <w:szCs w:val="22"/>
              </w:rPr>
              <w:t xml:space="preserve">Area </w:t>
            </w:r>
          </w:p>
        </w:tc>
        <w:tc>
          <w:tcPr>
            <w:tcW w:w="3515" w:type="dxa"/>
            <w:shd w:val="clear" w:color="auto" w:fill="A5C9EB" w:themeFill="text2" w:themeFillTint="40"/>
          </w:tcPr>
          <w:p w14:paraId="0EB6242B" w14:textId="5DCEFE6F" w:rsidR="64CC32DE" w:rsidRDefault="64CC32DE" w:rsidP="64CC32DE">
            <w:pPr>
              <w:rPr>
                <w:sz w:val="22"/>
                <w:szCs w:val="22"/>
              </w:rPr>
            </w:pPr>
            <w:r w:rsidRPr="64CC32DE">
              <w:rPr>
                <w:sz w:val="22"/>
                <w:szCs w:val="22"/>
              </w:rPr>
              <w:t xml:space="preserve"> Description </w:t>
            </w:r>
          </w:p>
        </w:tc>
        <w:tc>
          <w:tcPr>
            <w:tcW w:w="1511" w:type="dxa"/>
            <w:shd w:val="clear" w:color="auto" w:fill="A5C9EB" w:themeFill="text2" w:themeFillTint="40"/>
          </w:tcPr>
          <w:p w14:paraId="3973A09C" w14:textId="6AAF2683" w:rsidR="768D201A" w:rsidRDefault="768D201A" w:rsidP="64CC32DE">
            <w:pPr>
              <w:spacing w:line="279" w:lineRule="auto"/>
            </w:pPr>
            <w:r w:rsidRPr="64CC32DE">
              <w:rPr>
                <w:sz w:val="22"/>
                <w:szCs w:val="22"/>
              </w:rPr>
              <w:t>Progress statues</w:t>
            </w:r>
          </w:p>
        </w:tc>
        <w:tc>
          <w:tcPr>
            <w:tcW w:w="6915" w:type="dxa"/>
            <w:shd w:val="clear" w:color="auto" w:fill="A5C9EB" w:themeFill="text2" w:themeFillTint="40"/>
          </w:tcPr>
          <w:p w14:paraId="3D474793" w14:textId="184365CD" w:rsidR="64CC32DE" w:rsidRDefault="64CC32DE" w:rsidP="64CC32DE">
            <w:pPr>
              <w:rPr>
                <w:sz w:val="22"/>
                <w:szCs w:val="22"/>
              </w:rPr>
            </w:pPr>
            <w:r w:rsidRPr="64CC32DE">
              <w:rPr>
                <w:sz w:val="22"/>
                <w:szCs w:val="22"/>
              </w:rPr>
              <w:t xml:space="preserve">Comments </w:t>
            </w:r>
          </w:p>
        </w:tc>
        <w:tc>
          <w:tcPr>
            <w:tcW w:w="988" w:type="dxa"/>
            <w:shd w:val="clear" w:color="auto" w:fill="A5C9EB" w:themeFill="text2" w:themeFillTint="40"/>
          </w:tcPr>
          <w:p w14:paraId="2542D339" w14:textId="3C245222" w:rsidR="64CC32DE" w:rsidRDefault="64CC32DE" w:rsidP="64CC32DE">
            <w:pPr>
              <w:rPr>
                <w:sz w:val="22"/>
                <w:szCs w:val="22"/>
              </w:rPr>
            </w:pPr>
            <w:r w:rsidRPr="64CC32DE">
              <w:rPr>
                <w:sz w:val="22"/>
                <w:szCs w:val="22"/>
              </w:rPr>
              <w:t xml:space="preserve">RAG rating </w:t>
            </w:r>
          </w:p>
        </w:tc>
      </w:tr>
      <w:tr w:rsidR="64CC32DE" w14:paraId="571A5DCF" w14:textId="77777777" w:rsidTr="2C0F81E8">
        <w:trPr>
          <w:trHeight w:val="300"/>
        </w:trPr>
        <w:tc>
          <w:tcPr>
            <w:tcW w:w="1608" w:type="dxa"/>
            <w:vMerge w:val="restart"/>
          </w:tcPr>
          <w:p w14:paraId="4A18CE49" w14:textId="43E588D7" w:rsidR="1D29AC69" w:rsidRDefault="1D29AC69" w:rsidP="64CC32DE">
            <w:pPr>
              <w:spacing w:line="279" w:lineRule="auto"/>
              <w:rPr>
                <w:sz w:val="22"/>
                <w:szCs w:val="22"/>
              </w:rPr>
            </w:pPr>
            <w:r w:rsidRPr="64CC32DE">
              <w:rPr>
                <w:sz w:val="22"/>
                <w:szCs w:val="22"/>
              </w:rPr>
              <w:t>Prevention</w:t>
            </w:r>
            <w:r w:rsidR="64CC32DE" w:rsidRPr="64CC32DE">
              <w:rPr>
                <w:sz w:val="22"/>
                <w:szCs w:val="22"/>
              </w:rPr>
              <w:t xml:space="preserve"> </w:t>
            </w:r>
          </w:p>
        </w:tc>
        <w:tc>
          <w:tcPr>
            <w:tcW w:w="3515" w:type="dxa"/>
          </w:tcPr>
          <w:p w14:paraId="5D0E552B" w14:textId="465BAF0E" w:rsidR="1100B92A" w:rsidRDefault="1100B92A" w:rsidP="29EE79A3">
            <w:pPr>
              <w:spacing w:line="279" w:lineRule="auto"/>
              <w:rPr>
                <w:sz w:val="22"/>
                <w:szCs w:val="22"/>
              </w:rPr>
            </w:pPr>
            <w:r w:rsidRPr="29EE79A3">
              <w:rPr>
                <w:sz w:val="22"/>
                <w:szCs w:val="22"/>
              </w:rPr>
              <w:t xml:space="preserve">Delivery of Homelessness Prevention </w:t>
            </w:r>
            <w:r w:rsidR="648BE2A8" w:rsidRPr="29EE79A3">
              <w:rPr>
                <w:sz w:val="22"/>
                <w:szCs w:val="22"/>
              </w:rPr>
              <w:t>“</w:t>
            </w:r>
            <w:r w:rsidRPr="29EE79A3">
              <w:rPr>
                <w:sz w:val="22"/>
                <w:szCs w:val="22"/>
              </w:rPr>
              <w:t>Invest to Save</w:t>
            </w:r>
            <w:r w:rsidR="626FA4C9" w:rsidRPr="29EE79A3">
              <w:rPr>
                <w:sz w:val="22"/>
                <w:szCs w:val="22"/>
              </w:rPr>
              <w:t>”</w:t>
            </w:r>
            <w:r w:rsidR="35BF689F" w:rsidRPr="29EE79A3">
              <w:rPr>
                <w:sz w:val="22"/>
                <w:szCs w:val="22"/>
              </w:rPr>
              <w:t xml:space="preserve"> to increase teams capacity to focus on prevention </w:t>
            </w:r>
          </w:p>
        </w:tc>
        <w:tc>
          <w:tcPr>
            <w:tcW w:w="1511" w:type="dxa"/>
          </w:tcPr>
          <w:p w14:paraId="044CAC55" w14:textId="029A166B" w:rsidR="55DC0C20" w:rsidRDefault="55DC0C20" w:rsidP="64CC32DE">
            <w:pPr>
              <w:spacing w:line="279" w:lineRule="auto"/>
            </w:pPr>
            <w:r w:rsidRPr="64CC32DE">
              <w:rPr>
                <w:sz w:val="22"/>
                <w:szCs w:val="22"/>
              </w:rPr>
              <w:t>Completed</w:t>
            </w:r>
          </w:p>
        </w:tc>
        <w:tc>
          <w:tcPr>
            <w:tcW w:w="6915" w:type="dxa"/>
          </w:tcPr>
          <w:p w14:paraId="46E780D7" w14:textId="5410CEBC" w:rsidR="014C428B" w:rsidRDefault="014C428B" w:rsidP="64CC32DE">
            <w:pPr>
              <w:rPr>
                <w:sz w:val="22"/>
                <w:szCs w:val="22"/>
              </w:rPr>
            </w:pPr>
            <w:r w:rsidRPr="29EE79A3">
              <w:rPr>
                <w:sz w:val="22"/>
                <w:szCs w:val="22"/>
              </w:rPr>
              <w:t xml:space="preserve">A </w:t>
            </w:r>
            <w:r w:rsidR="34AA4168" w:rsidRPr="29EE79A3">
              <w:rPr>
                <w:sz w:val="22"/>
                <w:szCs w:val="22"/>
              </w:rPr>
              <w:t xml:space="preserve">fixed term </w:t>
            </w:r>
            <w:r w:rsidRPr="29EE79A3">
              <w:rPr>
                <w:sz w:val="22"/>
                <w:szCs w:val="22"/>
              </w:rPr>
              <w:t>investment has been made into the Councils Housing Options and Early Intervention teams</w:t>
            </w:r>
            <w:r w:rsidR="5D0D8164" w:rsidRPr="29EE79A3">
              <w:rPr>
                <w:sz w:val="22"/>
                <w:szCs w:val="22"/>
              </w:rPr>
              <w:t xml:space="preserve"> from </w:t>
            </w:r>
            <w:r w:rsidR="45238533" w:rsidRPr="29EE79A3">
              <w:rPr>
                <w:sz w:val="22"/>
                <w:szCs w:val="22"/>
              </w:rPr>
              <w:t xml:space="preserve">a </w:t>
            </w:r>
            <w:r w:rsidR="5D0D8164" w:rsidRPr="29EE79A3">
              <w:rPr>
                <w:sz w:val="22"/>
                <w:szCs w:val="22"/>
              </w:rPr>
              <w:t>central government grant</w:t>
            </w:r>
            <w:r w:rsidRPr="29EE79A3">
              <w:rPr>
                <w:sz w:val="22"/>
                <w:szCs w:val="22"/>
              </w:rPr>
              <w:t xml:space="preserve">, with 4 new officers recruited, and is supporting a large increase in number of households being supported and </w:t>
            </w:r>
            <w:r w:rsidR="7570519E" w:rsidRPr="29EE79A3">
              <w:rPr>
                <w:sz w:val="22"/>
                <w:szCs w:val="22"/>
              </w:rPr>
              <w:t>an</w:t>
            </w:r>
            <w:r w:rsidR="7500B162" w:rsidRPr="29EE79A3">
              <w:rPr>
                <w:sz w:val="22"/>
                <w:szCs w:val="22"/>
              </w:rPr>
              <w:t xml:space="preserve"> increase in successful outcomes achieved</w:t>
            </w:r>
            <w:r w:rsidR="24D71B98" w:rsidRPr="29EE79A3">
              <w:rPr>
                <w:sz w:val="22"/>
                <w:szCs w:val="22"/>
              </w:rPr>
              <w:t xml:space="preserve"> (see points below)</w:t>
            </w:r>
          </w:p>
        </w:tc>
        <w:tc>
          <w:tcPr>
            <w:tcW w:w="988" w:type="dxa"/>
            <w:shd w:val="clear" w:color="auto" w:fill="92D050"/>
          </w:tcPr>
          <w:p w14:paraId="12C14907" w14:textId="7CFBAB95" w:rsidR="64CC32DE" w:rsidRDefault="64CC32DE" w:rsidP="64CC32DE">
            <w:pPr>
              <w:rPr>
                <w:sz w:val="22"/>
                <w:szCs w:val="22"/>
              </w:rPr>
            </w:pPr>
          </w:p>
        </w:tc>
      </w:tr>
      <w:tr w:rsidR="64CC32DE" w14:paraId="230ED250" w14:textId="77777777" w:rsidTr="2C0F81E8">
        <w:trPr>
          <w:trHeight w:val="300"/>
        </w:trPr>
        <w:tc>
          <w:tcPr>
            <w:tcW w:w="1608" w:type="dxa"/>
            <w:vMerge/>
          </w:tcPr>
          <w:p w14:paraId="7D4F362E" w14:textId="77777777" w:rsidR="002D2BD2" w:rsidRDefault="002D2BD2"/>
        </w:tc>
        <w:tc>
          <w:tcPr>
            <w:tcW w:w="3515" w:type="dxa"/>
          </w:tcPr>
          <w:p w14:paraId="38D8EB8F" w14:textId="6A4E7CAB" w:rsidR="1100B92A" w:rsidRDefault="1100B92A" w:rsidP="64CC32DE">
            <w:pPr>
              <w:spacing w:line="279" w:lineRule="auto"/>
              <w:rPr>
                <w:sz w:val="22"/>
                <w:szCs w:val="22"/>
              </w:rPr>
            </w:pPr>
            <w:r w:rsidRPr="64CC32DE">
              <w:rPr>
                <w:sz w:val="22"/>
                <w:szCs w:val="22"/>
              </w:rPr>
              <w:t>Homelessness Prevention 50% or more of all duties taken</w:t>
            </w:r>
          </w:p>
        </w:tc>
        <w:tc>
          <w:tcPr>
            <w:tcW w:w="1511" w:type="dxa"/>
          </w:tcPr>
          <w:p w14:paraId="690D6BCE" w14:textId="5450FD68" w:rsidR="3AE6EAD5" w:rsidRDefault="3AE6EAD5" w:rsidP="64CC32DE">
            <w:pPr>
              <w:rPr>
                <w:sz w:val="22"/>
                <w:szCs w:val="22"/>
              </w:rPr>
            </w:pPr>
            <w:r w:rsidRPr="64CC32DE">
              <w:rPr>
                <w:sz w:val="22"/>
                <w:szCs w:val="22"/>
              </w:rPr>
              <w:t>Ongoing</w:t>
            </w:r>
          </w:p>
        </w:tc>
        <w:tc>
          <w:tcPr>
            <w:tcW w:w="6915" w:type="dxa"/>
          </w:tcPr>
          <w:p w14:paraId="71BA89B1" w14:textId="2736D303" w:rsidR="20E37657" w:rsidRDefault="276ACED9" w:rsidP="64CC32DE">
            <w:pPr>
              <w:rPr>
                <w:sz w:val="22"/>
                <w:szCs w:val="22"/>
              </w:rPr>
            </w:pPr>
            <w:r w:rsidRPr="29EE79A3">
              <w:rPr>
                <w:sz w:val="22"/>
                <w:szCs w:val="22"/>
              </w:rPr>
              <w:t xml:space="preserve">A good </w:t>
            </w:r>
            <w:r w:rsidR="20E37657" w:rsidRPr="29EE79A3">
              <w:rPr>
                <w:sz w:val="22"/>
                <w:szCs w:val="22"/>
              </w:rPr>
              <w:t xml:space="preserve">indicator of health in statutory homelessness services is </w:t>
            </w:r>
            <w:r w:rsidR="7016F6AE" w:rsidRPr="29EE79A3">
              <w:rPr>
                <w:sz w:val="22"/>
                <w:szCs w:val="22"/>
              </w:rPr>
              <w:t>the</w:t>
            </w:r>
            <w:r w:rsidR="20E37657" w:rsidRPr="29EE79A3">
              <w:rPr>
                <w:sz w:val="22"/>
                <w:szCs w:val="22"/>
              </w:rPr>
              <w:t xml:space="preserve"> balance between how much activity a Council does </w:t>
            </w:r>
            <w:r w:rsidR="78271A2B" w:rsidRPr="29EE79A3">
              <w:rPr>
                <w:sz w:val="22"/>
                <w:szCs w:val="22"/>
              </w:rPr>
              <w:t xml:space="preserve">at the </w:t>
            </w:r>
            <w:r w:rsidR="20E37657" w:rsidRPr="29EE79A3">
              <w:rPr>
                <w:sz w:val="22"/>
                <w:szCs w:val="22"/>
              </w:rPr>
              <w:t>prevention</w:t>
            </w:r>
            <w:r w:rsidR="4D14DAEC" w:rsidRPr="29EE79A3">
              <w:rPr>
                <w:sz w:val="22"/>
                <w:szCs w:val="22"/>
              </w:rPr>
              <w:t xml:space="preserve"> stage</w:t>
            </w:r>
            <w:r w:rsidR="20E37657" w:rsidRPr="29EE79A3">
              <w:rPr>
                <w:sz w:val="22"/>
                <w:szCs w:val="22"/>
              </w:rPr>
              <w:t xml:space="preserve"> v. how much it does in </w:t>
            </w:r>
            <w:r w:rsidR="3748033C" w:rsidRPr="29EE79A3">
              <w:rPr>
                <w:sz w:val="22"/>
                <w:szCs w:val="22"/>
              </w:rPr>
              <w:t>relief</w:t>
            </w:r>
            <w:r w:rsidR="3CD9D17A" w:rsidRPr="29EE79A3">
              <w:rPr>
                <w:sz w:val="22"/>
                <w:szCs w:val="22"/>
              </w:rPr>
              <w:t xml:space="preserve"> (once someone is already homeless). </w:t>
            </w:r>
            <w:proofErr w:type="gramStart"/>
            <w:r w:rsidR="3CD9D17A" w:rsidRPr="29EE79A3">
              <w:rPr>
                <w:sz w:val="22"/>
                <w:szCs w:val="22"/>
              </w:rPr>
              <w:t>Therefore</w:t>
            </w:r>
            <w:proofErr w:type="gramEnd"/>
            <w:r w:rsidR="3CD9D17A" w:rsidRPr="29EE79A3">
              <w:rPr>
                <w:sz w:val="22"/>
                <w:szCs w:val="22"/>
              </w:rPr>
              <w:t xml:space="preserve"> we target 50% or more of our duties to be Prevention Duties. In Q1 we </w:t>
            </w:r>
            <w:r w:rsidR="595BF35A" w:rsidRPr="29EE79A3">
              <w:rPr>
                <w:sz w:val="22"/>
                <w:szCs w:val="22"/>
              </w:rPr>
              <w:t>achieved</w:t>
            </w:r>
            <w:r w:rsidR="3CD9D17A" w:rsidRPr="29EE79A3">
              <w:rPr>
                <w:sz w:val="22"/>
                <w:szCs w:val="22"/>
              </w:rPr>
              <w:t xml:space="preserve"> </w:t>
            </w:r>
            <w:r w:rsidR="49230D20" w:rsidRPr="29EE79A3">
              <w:rPr>
                <w:sz w:val="22"/>
                <w:szCs w:val="22"/>
              </w:rPr>
              <w:t>55.1%</w:t>
            </w:r>
            <w:r w:rsidR="0767DE7F" w:rsidRPr="29EE79A3">
              <w:rPr>
                <w:sz w:val="22"/>
                <w:szCs w:val="22"/>
              </w:rPr>
              <w:t xml:space="preserve">, taking 134 </w:t>
            </w:r>
            <w:r w:rsidR="58AF2E52" w:rsidRPr="29EE79A3">
              <w:rPr>
                <w:sz w:val="22"/>
                <w:szCs w:val="22"/>
              </w:rPr>
              <w:t>P</w:t>
            </w:r>
            <w:r w:rsidR="0767DE7F" w:rsidRPr="29EE79A3">
              <w:rPr>
                <w:sz w:val="22"/>
                <w:szCs w:val="22"/>
              </w:rPr>
              <w:t xml:space="preserve">revention duties, to 109 </w:t>
            </w:r>
            <w:r w:rsidR="20B151CB" w:rsidRPr="29EE79A3">
              <w:rPr>
                <w:sz w:val="22"/>
                <w:szCs w:val="22"/>
              </w:rPr>
              <w:t>Relief</w:t>
            </w:r>
            <w:r w:rsidR="0767DE7F" w:rsidRPr="29EE79A3">
              <w:rPr>
                <w:sz w:val="22"/>
                <w:szCs w:val="22"/>
              </w:rPr>
              <w:t xml:space="preserve"> duties. </w:t>
            </w:r>
          </w:p>
        </w:tc>
        <w:tc>
          <w:tcPr>
            <w:tcW w:w="988" w:type="dxa"/>
            <w:shd w:val="clear" w:color="auto" w:fill="92D050"/>
          </w:tcPr>
          <w:p w14:paraId="4AF576D9" w14:textId="151754E7" w:rsidR="64CC32DE" w:rsidRDefault="64CC32DE" w:rsidP="64CC32DE">
            <w:pPr>
              <w:rPr>
                <w:sz w:val="22"/>
                <w:szCs w:val="22"/>
              </w:rPr>
            </w:pPr>
          </w:p>
        </w:tc>
      </w:tr>
      <w:tr w:rsidR="64CC32DE" w14:paraId="3DBBF1D5" w14:textId="77777777" w:rsidTr="2C0F81E8">
        <w:trPr>
          <w:trHeight w:val="300"/>
        </w:trPr>
        <w:tc>
          <w:tcPr>
            <w:tcW w:w="1608" w:type="dxa"/>
            <w:vMerge/>
          </w:tcPr>
          <w:p w14:paraId="6CD27490" w14:textId="77777777" w:rsidR="002D2BD2" w:rsidRDefault="002D2BD2"/>
        </w:tc>
        <w:tc>
          <w:tcPr>
            <w:tcW w:w="3515" w:type="dxa"/>
          </w:tcPr>
          <w:p w14:paraId="3EE7529A" w14:textId="104D2942" w:rsidR="1100B92A" w:rsidRDefault="1100B92A" w:rsidP="64CC32DE">
            <w:pPr>
              <w:spacing w:line="279" w:lineRule="auto"/>
              <w:rPr>
                <w:sz w:val="22"/>
                <w:szCs w:val="22"/>
              </w:rPr>
            </w:pPr>
            <w:r w:rsidRPr="64CC32DE">
              <w:rPr>
                <w:sz w:val="22"/>
                <w:szCs w:val="22"/>
              </w:rPr>
              <w:t xml:space="preserve">Percentage of homelessness prevention outcomes being </w:t>
            </w:r>
            <w:r w:rsidR="2FA5CDC9" w:rsidRPr="64CC32DE">
              <w:rPr>
                <w:sz w:val="22"/>
                <w:szCs w:val="22"/>
              </w:rPr>
              <w:t>positive</w:t>
            </w:r>
            <w:r w:rsidRPr="64CC32DE">
              <w:rPr>
                <w:sz w:val="22"/>
                <w:szCs w:val="22"/>
              </w:rPr>
              <w:t xml:space="preserve"> </w:t>
            </w:r>
          </w:p>
        </w:tc>
        <w:tc>
          <w:tcPr>
            <w:tcW w:w="1511" w:type="dxa"/>
          </w:tcPr>
          <w:p w14:paraId="4C760119" w14:textId="22423CD9" w:rsidR="281AED63" w:rsidRDefault="281AED63" w:rsidP="64CC32DE">
            <w:pPr>
              <w:rPr>
                <w:sz w:val="22"/>
                <w:szCs w:val="22"/>
              </w:rPr>
            </w:pPr>
            <w:r w:rsidRPr="64CC32DE">
              <w:rPr>
                <w:sz w:val="22"/>
                <w:szCs w:val="22"/>
              </w:rPr>
              <w:t>Ongoing</w:t>
            </w:r>
          </w:p>
        </w:tc>
        <w:tc>
          <w:tcPr>
            <w:tcW w:w="6915" w:type="dxa"/>
          </w:tcPr>
          <w:p w14:paraId="5598AD97" w14:textId="2E9FB931" w:rsidR="7899B393" w:rsidRDefault="7899B393" w:rsidP="64CC32DE">
            <w:pPr>
              <w:rPr>
                <w:rFonts w:ascii="Aptos" w:eastAsia="Aptos" w:hAnsi="Aptos" w:cs="Aptos"/>
                <w:sz w:val="22"/>
                <w:szCs w:val="22"/>
              </w:rPr>
            </w:pPr>
            <w:r w:rsidRPr="29EE79A3">
              <w:rPr>
                <w:rFonts w:ascii="Aptos" w:eastAsia="Aptos" w:hAnsi="Aptos" w:cs="Aptos"/>
                <w:color w:val="000000" w:themeColor="text1"/>
                <w:sz w:val="22"/>
                <w:szCs w:val="22"/>
              </w:rPr>
              <w:t xml:space="preserve">We have also seen an increase in the number of prevention cases we close with a successful outcome. In 23/24 we achieved 52.5% </w:t>
            </w:r>
            <w:r w:rsidR="2F5756CA" w:rsidRPr="29EE79A3">
              <w:rPr>
                <w:rFonts w:ascii="Aptos" w:eastAsia="Aptos" w:hAnsi="Aptos" w:cs="Aptos"/>
                <w:color w:val="000000" w:themeColor="text1"/>
                <w:sz w:val="22"/>
                <w:szCs w:val="22"/>
              </w:rPr>
              <w:t xml:space="preserve">having </w:t>
            </w:r>
            <w:r w:rsidRPr="29EE79A3">
              <w:rPr>
                <w:rFonts w:ascii="Aptos" w:eastAsia="Aptos" w:hAnsi="Aptos" w:cs="Aptos"/>
                <w:color w:val="000000" w:themeColor="text1"/>
                <w:sz w:val="22"/>
                <w:szCs w:val="22"/>
              </w:rPr>
              <w:t xml:space="preserve">a successful outcome (with the rest either homeless or lost contact). So far in 24/25 we are achieving 62.8%, </w:t>
            </w:r>
            <w:r w:rsidR="4A68E887" w:rsidRPr="29EE79A3">
              <w:rPr>
                <w:rFonts w:ascii="Aptos" w:eastAsia="Aptos" w:hAnsi="Aptos" w:cs="Aptos"/>
                <w:color w:val="000000" w:themeColor="text1"/>
                <w:sz w:val="22"/>
                <w:szCs w:val="22"/>
              </w:rPr>
              <w:t xml:space="preserve">an increase in positive cases, breaking down to </w:t>
            </w:r>
            <w:r w:rsidRPr="29EE79A3">
              <w:rPr>
                <w:rFonts w:ascii="Aptos" w:eastAsia="Aptos" w:hAnsi="Aptos" w:cs="Aptos"/>
                <w:color w:val="000000" w:themeColor="text1"/>
                <w:sz w:val="22"/>
                <w:szCs w:val="22"/>
              </w:rPr>
              <w:t>40 households sustained in current accommodation, and 63 households supported to move to alternative accommodation before becoming homeless.</w:t>
            </w:r>
          </w:p>
        </w:tc>
        <w:tc>
          <w:tcPr>
            <w:tcW w:w="988" w:type="dxa"/>
            <w:shd w:val="clear" w:color="auto" w:fill="92D050"/>
          </w:tcPr>
          <w:p w14:paraId="33356816" w14:textId="19314C09" w:rsidR="64CC32DE" w:rsidRDefault="64CC32DE" w:rsidP="64CC32DE">
            <w:pPr>
              <w:rPr>
                <w:sz w:val="22"/>
                <w:szCs w:val="22"/>
              </w:rPr>
            </w:pPr>
          </w:p>
        </w:tc>
      </w:tr>
      <w:tr w:rsidR="64CC32DE" w14:paraId="57F1BA96" w14:textId="77777777" w:rsidTr="2C0F81E8">
        <w:trPr>
          <w:trHeight w:val="300"/>
        </w:trPr>
        <w:tc>
          <w:tcPr>
            <w:tcW w:w="1608" w:type="dxa"/>
            <w:vMerge w:val="restart"/>
          </w:tcPr>
          <w:p w14:paraId="0DD4D356" w14:textId="759AD23F" w:rsidR="1100B92A" w:rsidRDefault="1100B92A" w:rsidP="64CC32DE">
            <w:pPr>
              <w:spacing w:line="279" w:lineRule="auto"/>
            </w:pPr>
            <w:r w:rsidRPr="64CC32DE">
              <w:rPr>
                <w:sz w:val="22"/>
                <w:szCs w:val="22"/>
              </w:rPr>
              <w:t>Expand TA stock to lower hotel use</w:t>
            </w:r>
          </w:p>
        </w:tc>
        <w:tc>
          <w:tcPr>
            <w:tcW w:w="3515" w:type="dxa"/>
          </w:tcPr>
          <w:p w14:paraId="31F493A1" w14:textId="0FB9EE36" w:rsidR="1100B92A" w:rsidRDefault="1100B92A" w:rsidP="64CC32DE">
            <w:pPr>
              <w:spacing w:line="279" w:lineRule="auto"/>
              <w:rPr>
                <w:sz w:val="22"/>
                <w:szCs w:val="22"/>
              </w:rPr>
            </w:pPr>
            <w:r w:rsidRPr="29EE79A3">
              <w:rPr>
                <w:sz w:val="22"/>
                <w:szCs w:val="22"/>
              </w:rPr>
              <w:t>Develop and expand a private sector leasing</w:t>
            </w:r>
            <w:r w:rsidR="147C3501" w:rsidRPr="29EE79A3">
              <w:rPr>
                <w:sz w:val="22"/>
                <w:szCs w:val="22"/>
              </w:rPr>
              <w:t xml:space="preserve"> (PSL)</w:t>
            </w:r>
            <w:r w:rsidRPr="29EE79A3">
              <w:rPr>
                <w:sz w:val="22"/>
                <w:szCs w:val="22"/>
              </w:rPr>
              <w:t xml:space="preserve"> scheme</w:t>
            </w:r>
          </w:p>
        </w:tc>
        <w:tc>
          <w:tcPr>
            <w:tcW w:w="1511" w:type="dxa"/>
          </w:tcPr>
          <w:p w14:paraId="5E5B0CB5" w14:textId="7CB0BBA4" w:rsidR="2D6AD97A" w:rsidRDefault="2D6AD97A" w:rsidP="64CC32DE">
            <w:pPr>
              <w:rPr>
                <w:sz w:val="22"/>
                <w:szCs w:val="22"/>
              </w:rPr>
            </w:pPr>
            <w:r w:rsidRPr="64CC32DE">
              <w:rPr>
                <w:sz w:val="22"/>
                <w:szCs w:val="22"/>
              </w:rPr>
              <w:t>Delivering</w:t>
            </w:r>
          </w:p>
        </w:tc>
        <w:tc>
          <w:tcPr>
            <w:tcW w:w="6915" w:type="dxa"/>
          </w:tcPr>
          <w:p w14:paraId="5474B2B4" w14:textId="19ED5FB1" w:rsidR="64CC32DE" w:rsidRDefault="3117D866" w:rsidP="64CC32DE">
            <w:pPr>
              <w:rPr>
                <w:sz w:val="22"/>
                <w:szCs w:val="22"/>
              </w:rPr>
            </w:pPr>
            <w:r w:rsidRPr="29EE79A3">
              <w:rPr>
                <w:sz w:val="22"/>
                <w:szCs w:val="22"/>
              </w:rPr>
              <w:t>We have successful established a PSL scheme targeting an initial 30 units to be used as TA</w:t>
            </w:r>
            <w:r w:rsidR="1FF3C5C2" w:rsidRPr="29EE79A3">
              <w:rPr>
                <w:sz w:val="22"/>
                <w:szCs w:val="22"/>
              </w:rPr>
              <w:t>, mostly HMOs</w:t>
            </w:r>
            <w:r w:rsidRPr="29EE79A3">
              <w:rPr>
                <w:sz w:val="22"/>
                <w:szCs w:val="22"/>
              </w:rPr>
              <w:t xml:space="preserve">. As of </w:t>
            </w:r>
            <w:proofErr w:type="gramStart"/>
            <w:r w:rsidRPr="29EE79A3">
              <w:rPr>
                <w:sz w:val="22"/>
                <w:szCs w:val="22"/>
              </w:rPr>
              <w:t>September</w:t>
            </w:r>
            <w:proofErr w:type="gramEnd"/>
            <w:r w:rsidRPr="29EE79A3">
              <w:rPr>
                <w:sz w:val="22"/>
                <w:szCs w:val="22"/>
              </w:rPr>
              <w:t xml:space="preserve"> we have secured 30 units, </w:t>
            </w:r>
            <w:r w:rsidR="7D7F7DBF" w:rsidRPr="29EE79A3">
              <w:rPr>
                <w:sz w:val="22"/>
                <w:szCs w:val="22"/>
              </w:rPr>
              <w:t>with 18 already in use. We will</w:t>
            </w:r>
            <w:r w:rsidR="1478ED4D" w:rsidRPr="29EE79A3">
              <w:rPr>
                <w:sz w:val="22"/>
                <w:szCs w:val="22"/>
              </w:rPr>
              <w:t xml:space="preserve"> closely monitor these HMOs as they can be potentially more difficult to manage, and have increased staffing to do so, rated amber as still in early stages.</w:t>
            </w:r>
            <w:r w:rsidR="1F11D849" w:rsidRPr="29EE79A3">
              <w:rPr>
                <w:sz w:val="22"/>
                <w:szCs w:val="22"/>
              </w:rPr>
              <w:t xml:space="preserve"> </w:t>
            </w:r>
          </w:p>
        </w:tc>
        <w:tc>
          <w:tcPr>
            <w:tcW w:w="988" w:type="dxa"/>
            <w:shd w:val="clear" w:color="auto" w:fill="FFC000"/>
          </w:tcPr>
          <w:p w14:paraId="228FED23" w14:textId="5DFCF70B" w:rsidR="64CC32DE" w:rsidRDefault="64CC32DE" w:rsidP="64CC32DE">
            <w:pPr>
              <w:rPr>
                <w:sz w:val="22"/>
                <w:szCs w:val="22"/>
              </w:rPr>
            </w:pPr>
          </w:p>
        </w:tc>
      </w:tr>
      <w:tr w:rsidR="64CC32DE" w14:paraId="11C1E175" w14:textId="77777777" w:rsidTr="2C0F81E8">
        <w:trPr>
          <w:trHeight w:val="300"/>
        </w:trPr>
        <w:tc>
          <w:tcPr>
            <w:tcW w:w="1608" w:type="dxa"/>
            <w:vMerge/>
          </w:tcPr>
          <w:p w14:paraId="592397AC" w14:textId="77777777" w:rsidR="002D2BD2" w:rsidRDefault="002D2BD2"/>
        </w:tc>
        <w:tc>
          <w:tcPr>
            <w:tcW w:w="3515" w:type="dxa"/>
          </w:tcPr>
          <w:p w14:paraId="0A5F2034" w14:textId="4176CCE5" w:rsidR="2D6AD97A" w:rsidRDefault="2D6AD97A" w:rsidP="64CC32DE">
            <w:pPr>
              <w:spacing w:line="279" w:lineRule="auto"/>
              <w:rPr>
                <w:sz w:val="22"/>
                <w:szCs w:val="22"/>
              </w:rPr>
            </w:pPr>
            <w:r w:rsidRPr="64CC32DE">
              <w:rPr>
                <w:sz w:val="22"/>
                <w:szCs w:val="22"/>
              </w:rPr>
              <w:t>Use more Council stock for the purpose of TA, to prevent households having long stays in hotels.</w:t>
            </w:r>
          </w:p>
        </w:tc>
        <w:tc>
          <w:tcPr>
            <w:tcW w:w="1511" w:type="dxa"/>
          </w:tcPr>
          <w:p w14:paraId="63D24AA9" w14:textId="1AC65CCE" w:rsidR="2D6AD97A" w:rsidRDefault="2D6AD97A" w:rsidP="64CC32DE">
            <w:pPr>
              <w:rPr>
                <w:sz w:val="22"/>
                <w:szCs w:val="22"/>
              </w:rPr>
            </w:pPr>
            <w:r w:rsidRPr="64CC32DE">
              <w:rPr>
                <w:sz w:val="22"/>
                <w:szCs w:val="22"/>
              </w:rPr>
              <w:t>Delivering</w:t>
            </w:r>
          </w:p>
          <w:p w14:paraId="2AD18306" w14:textId="01F59E0C" w:rsidR="64CC32DE" w:rsidRDefault="64CC32DE" w:rsidP="64CC32DE">
            <w:pPr>
              <w:rPr>
                <w:sz w:val="22"/>
                <w:szCs w:val="22"/>
              </w:rPr>
            </w:pPr>
          </w:p>
        </w:tc>
        <w:tc>
          <w:tcPr>
            <w:tcW w:w="6915" w:type="dxa"/>
          </w:tcPr>
          <w:p w14:paraId="35A0C3E5" w14:textId="7038A422" w:rsidR="64CC32DE" w:rsidRDefault="47F9B513" w:rsidP="64CC32DE">
            <w:pPr>
              <w:rPr>
                <w:sz w:val="22"/>
                <w:szCs w:val="22"/>
              </w:rPr>
            </w:pPr>
            <w:r w:rsidRPr="29EE79A3">
              <w:rPr>
                <w:sz w:val="22"/>
                <w:szCs w:val="22"/>
              </w:rPr>
              <w:t>Approximately</w:t>
            </w:r>
            <w:r w:rsidR="03CB7B4A" w:rsidRPr="29EE79A3">
              <w:rPr>
                <w:sz w:val="22"/>
                <w:szCs w:val="22"/>
              </w:rPr>
              <w:t xml:space="preserve"> 15 units have been moved from general needs use to TA over the last 12m, we will continue to move more over if required, </w:t>
            </w:r>
            <w:proofErr w:type="gramStart"/>
            <w:r w:rsidR="03CB7B4A" w:rsidRPr="29EE79A3">
              <w:rPr>
                <w:sz w:val="22"/>
                <w:szCs w:val="22"/>
              </w:rPr>
              <w:t>in</w:t>
            </w:r>
            <w:r w:rsidR="4808C28E" w:rsidRPr="29EE79A3">
              <w:rPr>
                <w:sz w:val="22"/>
                <w:szCs w:val="22"/>
              </w:rPr>
              <w:t xml:space="preserve"> </w:t>
            </w:r>
            <w:r w:rsidR="4C29F1A5" w:rsidRPr="29EE79A3">
              <w:rPr>
                <w:sz w:val="22"/>
                <w:szCs w:val="22"/>
              </w:rPr>
              <w:t>particular</w:t>
            </w:r>
            <w:r w:rsidR="4808C28E" w:rsidRPr="29EE79A3">
              <w:rPr>
                <w:sz w:val="22"/>
                <w:szCs w:val="22"/>
              </w:rPr>
              <w:t xml:space="preserve"> </w:t>
            </w:r>
            <w:r w:rsidR="03CB7B4A" w:rsidRPr="29EE79A3">
              <w:rPr>
                <w:sz w:val="22"/>
                <w:szCs w:val="22"/>
              </w:rPr>
              <w:t>to</w:t>
            </w:r>
            <w:proofErr w:type="gramEnd"/>
            <w:r w:rsidR="03CB7B4A" w:rsidRPr="29EE79A3">
              <w:rPr>
                <w:sz w:val="22"/>
                <w:szCs w:val="22"/>
              </w:rPr>
              <w:t xml:space="preserve"> ensure families are not spending long periods in hotel rooms. </w:t>
            </w:r>
          </w:p>
        </w:tc>
        <w:tc>
          <w:tcPr>
            <w:tcW w:w="988" w:type="dxa"/>
            <w:shd w:val="clear" w:color="auto" w:fill="92D050"/>
          </w:tcPr>
          <w:p w14:paraId="11DCD77C" w14:textId="457F5E46" w:rsidR="64CC32DE" w:rsidRDefault="64CC32DE" w:rsidP="64CC32DE">
            <w:pPr>
              <w:rPr>
                <w:sz w:val="22"/>
                <w:szCs w:val="22"/>
              </w:rPr>
            </w:pPr>
          </w:p>
        </w:tc>
      </w:tr>
      <w:tr w:rsidR="64CC32DE" w14:paraId="33F9F04D" w14:textId="77777777" w:rsidTr="2C0F81E8">
        <w:trPr>
          <w:trHeight w:val="300"/>
        </w:trPr>
        <w:tc>
          <w:tcPr>
            <w:tcW w:w="1608" w:type="dxa"/>
            <w:vMerge/>
          </w:tcPr>
          <w:p w14:paraId="5ECD88A0" w14:textId="77777777" w:rsidR="002D2BD2" w:rsidRDefault="002D2BD2"/>
        </w:tc>
        <w:tc>
          <w:tcPr>
            <w:tcW w:w="3515" w:type="dxa"/>
          </w:tcPr>
          <w:p w14:paraId="0FF216CA" w14:textId="766107A5" w:rsidR="2D6AD97A" w:rsidRDefault="2D6AD97A" w:rsidP="64CC32DE">
            <w:pPr>
              <w:spacing w:line="279" w:lineRule="auto"/>
              <w:rPr>
                <w:sz w:val="22"/>
                <w:szCs w:val="22"/>
              </w:rPr>
            </w:pPr>
            <w:r w:rsidRPr="29EE79A3">
              <w:rPr>
                <w:sz w:val="22"/>
                <w:szCs w:val="22"/>
              </w:rPr>
              <w:t xml:space="preserve">Launch a new </w:t>
            </w:r>
            <w:r w:rsidR="74D35C59" w:rsidRPr="29EE79A3">
              <w:rPr>
                <w:sz w:val="22"/>
                <w:szCs w:val="22"/>
              </w:rPr>
              <w:t>Temporary</w:t>
            </w:r>
            <w:r w:rsidRPr="29EE79A3">
              <w:rPr>
                <w:sz w:val="22"/>
                <w:szCs w:val="22"/>
              </w:rPr>
              <w:t xml:space="preserve"> </w:t>
            </w:r>
            <w:r w:rsidR="735A4654" w:rsidRPr="29EE79A3">
              <w:rPr>
                <w:sz w:val="22"/>
                <w:szCs w:val="22"/>
              </w:rPr>
              <w:t>Accommodation</w:t>
            </w:r>
            <w:r w:rsidRPr="29EE79A3">
              <w:rPr>
                <w:sz w:val="22"/>
                <w:szCs w:val="22"/>
              </w:rPr>
              <w:t xml:space="preserve"> Procurement </w:t>
            </w:r>
            <w:r w:rsidRPr="29EE79A3">
              <w:rPr>
                <w:sz w:val="22"/>
                <w:szCs w:val="22"/>
              </w:rPr>
              <w:lastRenderedPageBreak/>
              <w:t xml:space="preserve">Framework, to drive up standards and drive down cost. </w:t>
            </w:r>
          </w:p>
        </w:tc>
        <w:tc>
          <w:tcPr>
            <w:tcW w:w="1511" w:type="dxa"/>
          </w:tcPr>
          <w:p w14:paraId="3378BB69" w14:textId="1AC65CCE" w:rsidR="2D6AD97A" w:rsidRDefault="2D6AD97A" w:rsidP="64CC32DE">
            <w:pPr>
              <w:rPr>
                <w:sz w:val="22"/>
                <w:szCs w:val="22"/>
              </w:rPr>
            </w:pPr>
            <w:r w:rsidRPr="64CC32DE">
              <w:rPr>
                <w:sz w:val="22"/>
                <w:szCs w:val="22"/>
              </w:rPr>
              <w:lastRenderedPageBreak/>
              <w:t>Delivering</w:t>
            </w:r>
          </w:p>
        </w:tc>
        <w:tc>
          <w:tcPr>
            <w:tcW w:w="6915" w:type="dxa"/>
          </w:tcPr>
          <w:p w14:paraId="5AA3917F" w14:textId="5258E994" w:rsidR="64CC32DE" w:rsidRDefault="0530D6F4" w:rsidP="64CC32DE">
            <w:pPr>
              <w:rPr>
                <w:sz w:val="22"/>
                <w:szCs w:val="22"/>
              </w:rPr>
            </w:pPr>
            <w:r w:rsidRPr="29EE79A3">
              <w:rPr>
                <w:sz w:val="22"/>
                <w:szCs w:val="22"/>
              </w:rPr>
              <w:t xml:space="preserve">Cabinet </w:t>
            </w:r>
            <w:r w:rsidR="1719D473" w:rsidRPr="29EE79A3">
              <w:rPr>
                <w:sz w:val="22"/>
                <w:szCs w:val="22"/>
              </w:rPr>
              <w:t>approved</w:t>
            </w:r>
            <w:r w:rsidRPr="29EE79A3">
              <w:rPr>
                <w:sz w:val="22"/>
                <w:szCs w:val="22"/>
              </w:rPr>
              <w:t xml:space="preserve"> the creation</w:t>
            </w:r>
            <w:r w:rsidR="6F80DB7A" w:rsidRPr="29EE79A3">
              <w:rPr>
                <w:sz w:val="22"/>
                <w:szCs w:val="22"/>
              </w:rPr>
              <w:t xml:space="preserve"> </w:t>
            </w:r>
            <w:r w:rsidR="7464A4C8" w:rsidRPr="29EE79A3">
              <w:rPr>
                <w:sz w:val="22"/>
                <w:szCs w:val="22"/>
              </w:rPr>
              <w:t>of</w:t>
            </w:r>
            <w:r w:rsidRPr="29EE79A3">
              <w:rPr>
                <w:sz w:val="22"/>
                <w:szCs w:val="22"/>
              </w:rPr>
              <w:t xml:space="preserve"> </w:t>
            </w:r>
            <w:r w:rsidR="0604EE37" w:rsidRPr="29EE79A3">
              <w:rPr>
                <w:sz w:val="22"/>
                <w:szCs w:val="22"/>
              </w:rPr>
              <w:t>the</w:t>
            </w:r>
            <w:r w:rsidRPr="29EE79A3">
              <w:rPr>
                <w:sz w:val="22"/>
                <w:szCs w:val="22"/>
              </w:rPr>
              <w:t xml:space="preserve"> </w:t>
            </w:r>
            <w:r w:rsidR="4C054E03" w:rsidRPr="29EE79A3">
              <w:rPr>
                <w:sz w:val="22"/>
                <w:szCs w:val="22"/>
              </w:rPr>
              <w:t>framework</w:t>
            </w:r>
            <w:r w:rsidRPr="29EE79A3">
              <w:rPr>
                <w:sz w:val="22"/>
                <w:szCs w:val="22"/>
              </w:rPr>
              <w:t xml:space="preserve"> in May. T</w:t>
            </w:r>
            <w:r w:rsidR="6E2AECA7" w:rsidRPr="29EE79A3">
              <w:rPr>
                <w:sz w:val="22"/>
                <w:szCs w:val="22"/>
              </w:rPr>
              <w:t xml:space="preserve">he </w:t>
            </w:r>
            <w:r w:rsidRPr="29EE79A3">
              <w:rPr>
                <w:sz w:val="22"/>
                <w:szCs w:val="22"/>
              </w:rPr>
              <w:t xml:space="preserve">framework has now been established and </w:t>
            </w:r>
            <w:r w:rsidR="45F3E306" w:rsidRPr="29EE79A3">
              <w:rPr>
                <w:sz w:val="22"/>
                <w:szCs w:val="22"/>
              </w:rPr>
              <w:t>providers</w:t>
            </w:r>
            <w:r w:rsidRPr="29EE79A3">
              <w:rPr>
                <w:sz w:val="22"/>
                <w:szCs w:val="22"/>
              </w:rPr>
              <w:t xml:space="preserve"> are joining it, </w:t>
            </w:r>
            <w:r w:rsidRPr="29EE79A3">
              <w:rPr>
                <w:sz w:val="22"/>
                <w:szCs w:val="22"/>
              </w:rPr>
              <w:lastRenderedPageBreak/>
              <w:t xml:space="preserve">ready for us soon to start to </w:t>
            </w:r>
            <w:r w:rsidR="4A77BB1C" w:rsidRPr="29EE79A3">
              <w:rPr>
                <w:sz w:val="22"/>
                <w:szCs w:val="22"/>
              </w:rPr>
              <w:t>successfully</w:t>
            </w:r>
            <w:r w:rsidRPr="29EE79A3">
              <w:rPr>
                <w:sz w:val="22"/>
                <w:szCs w:val="22"/>
              </w:rPr>
              <w:t xml:space="preserve"> appoint providers to begin</w:t>
            </w:r>
            <w:r w:rsidR="3EC9142E" w:rsidRPr="29EE79A3">
              <w:rPr>
                <w:sz w:val="22"/>
                <w:szCs w:val="22"/>
              </w:rPr>
              <w:t xml:space="preserve"> to deliver.</w:t>
            </w:r>
          </w:p>
        </w:tc>
        <w:tc>
          <w:tcPr>
            <w:tcW w:w="988" w:type="dxa"/>
            <w:shd w:val="clear" w:color="auto" w:fill="92D050"/>
          </w:tcPr>
          <w:p w14:paraId="013B4DA9" w14:textId="57050A38" w:rsidR="64CC32DE" w:rsidRDefault="64CC32DE" w:rsidP="64CC32DE">
            <w:pPr>
              <w:rPr>
                <w:sz w:val="22"/>
                <w:szCs w:val="22"/>
              </w:rPr>
            </w:pPr>
          </w:p>
        </w:tc>
      </w:tr>
      <w:tr w:rsidR="64CC32DE" w14:paraId="31D9C610" w14:textId="77777777" w:rsidTr="2C0F81E8">
        <w:trPr>
          <w:trHeight w:val="300"/>
        </w:trPr>
        <w:tc>
          <w:tcPr>
            <w:tcW w:w="1608" w:type="dxa"/>
            <w:vMerge/>
          </w:tcPr>
          <w:p w14:paraId="6D2DC9B8" w14:textId="77777777" w:rsidR="002D2BD2" w:rsidRDefault="002D2BD2"/>
        </w:tc>
        <w:tc>
          <w:tcPr>
            <w:tcW w:w="3515" w:type="dxa"/>
          </w:tcPr>
          <w:p w14:paraId="2DA73314" w14:textId="4C0BE240" w:rsidR="2677E24E" w:rsidRDefault="58902791" w:rsidP="64CC32DE">
            <w:pPr>
              <w:rPr>
                <w:sz w:val="22"/>
                <w:szCs w:val="22"/>
              </w:rPr>
            </w:pPr>
            <w:r w:rsidRPr="2C0F81E8">
              <w:rPr>
                <w:sz w:val="22"/>
                <w:szCs w:val="22"/>
              </w:rPr>
              <w:t>Continue</w:t>
            </w:r>
            <w:r w:rsidR="34B46895" w:rsidRPr="2C0F81E8">
              <w:rPr>
                <w:sz w:val="22"/>
                <w:szCs w:val="22"/>
              </w:rPr>
              <w:t xml:space="preserve"> to develop and seek approval for other schemes to expand the Council</w:t>
            </w:r>
            <w:r w:rsidR="19F7DF47" w:rsidRPr="2C0F81E8">
              <w:rPr>
                <w:sz w:val="22"/>
                <w:szCs w:val="22"/>
              </w:rPr>
              <w:t>’</w:t>
            </w:r>
            <w:r w:rsidR="34B46895" w:rsidRPr="2C0F81E8">
              <w:rPr>
                <w:sz w:val="22"/>
                <w:szCs w:val="22"/>
              </w:rPr>
              <w:t xml:space="preserve">s </w:t>
            </w:r>
            <w:r w:rsidR="0C9266E8" w:rsidRPr="2C0F81E8">
              <w:rPr>
                <w:sz w:val="22"/>
                <w:szCs w:val="22"/>
              </w:rPr>
              <w:t xml:space="preserve">TA </w:t>
            </w:r>
            <w:r w:rsidR="34B46895" w:rsidRPr="2C0F81E8">
              <w:rPr>
                <w:sz w:val="22"/>
                <w:szCs w:val="22"/>
              </w:rPr>
              <w:t>stock</w:t>
            </w:r>
          </w:p>
        </w:tc>
        <w:tc>
          <w:tcPr>
            <w:tcW w:w="1511" w:type="dxa"/>
          </w:tcPr>
          <w:p w14:paraId="1BD69DC9" w14:textId="6E2882E0" w:rsidR="471E2517" w:rsidRDefault="471E2517" w:rsidP="64CC32DE">
            <w:pPr>
              <w:rPr>
                <w:sz w:val="22"/>
                <w:szCs w:val="22"/>
              </w:rPr>
            </w:pPr>
            <w:r w:rsidRPr="64CC32DE">
              <w:rPr>
                <w:sz w:val="22"/>
                <w:szCs w:val="22"/>
              </w:rPr>
              <w:t>Ongoing</w:t>
            </w:r>
          </w:p>
        </w:tc>
        <w:tc>
          <w:tcPr>
            <w:tcW w:w="6915" w:type="dxa"/>
          </w:tcPr>
          <w:p w14:paraId="52A5F5CA" w14:textId="0EDED2AD" w:rsidR="64CC32DE" w:rsidRDefault="018F574B" w:rsidP="64CC32DE">
            <w:pPr>
              <w:rPr>
                <w:sz w:val="22"/>
                <w:szCs w:val="22"/>
              </w:rPr>
            </w:pPr>
            <w:r w:rsidRPr="2C0F81E8">
              <w:rPr>
                <w:sz w:val="22"/>
                <w:szCs w:val="22"/>
              </w:rPr>
              <w:t xml:space="preserve">We </w:t>
            </w:r>
            <w:r w:rsidR="198C297E" w:rsidRPr="2C0F81E8">
              <w:rPr>
                <w:sz w:val="22"/>
                <w:szCs w:val="22"/>
              </w:rPr>
              <w:t>continue</w:t>
            </w:r>
            <w:r w:rsidRPr="2C0F81E8">
              <w:rPr>
                <w:sz w:val="22"/>
                <w:szCs w:val="22"/>
              </w:rPr>
              <w:t xml:space="preserve"> to </w:t>
            </w:r>
            <w:r w:rsidR="2C622732" w:rsidRPr="2C0F81E8">
              <w:rPr>
                <w:sz w:val="22"/>
                <w:szCs w:val="22"/>
              </w:rPr>
              <w:t>look at developing</w:t>
            </w:r>
            <w:r w:rsidRPr="2C0F81E8">
              <w:rPr>
                <w:sz w:val="22"/>
                <w:szCs w:val="22"/>
              </w:rPr>
              <w:t xml:space="preserve"> other </w:t>
            </w:r>
            <w:r w:rsidR="4E615939" w:rsidRPr="2C0F81E8">
              <w:rPr>
                <w:sz w:val="22"/>
                <w:szCs w:val="22"/>
              </w:rPr>
              <w:t>schemes</w:t>
            </w:r>
            <w:r w:rsidRPr="2C0F81E8">
              <w:rPr>
                <w:sz w:val="22"/>
                <w:szCs w:val="22"/>
              </w:rPr>
              <w:t xml:space="preserve"> to expand the council</w:t>
            </w:r>
            <w:r w:rsidR="3E4DC095" w:rsidRPr="2C0F81E8">
              <w:rPr>
                <w:sz w:val="22"/>
                <w:szCs w:val="22"/>
              </w:rPr>
              <w:t>’s TA</w:t>
            </w:r>
            <w:r w:rsidRPr="2C0F81E8">
              <w:rPr>
                <w:sz w:val="22"/>
                <w:szCs w:val="22"/>
              </w:rPr>
              <w:t xml:space="preserve"> stock. These include talks with H</w:t>
            </w:r>
            <w:r w:rsidR="705A4BBF" w:rsidRPr="2C0F81E8">
              <w:rPr>
                <w:sz w:val="22"/>
                <w:szCs w:val="22"/>
              </w:rPr>
              <w:t xml:space="preserve">ousing </w:t>
            </w:r>
            <w:r w:rsidR="16C22038" w:rsidRPr="2C0F81E8">
              <w:rPr>
                <w:sz w:val="22"/>
                <w:szCs w:val="22"/>
              </w:rPr>
              <w:t>Associations and</w:t>
            </w:r>
            <w:r w:rsidRPr="2C0F81E8">
              <w:rPr>
                <w:sz w:val="22"/>
                <w:szCs w:val="22"/>
              </w:rPr>
              <w:t xml:space="preserve"> developing plans to </w:t>
            </w:r>
            <w:r w:rsidR="17AD0B08" w:rsidRPr="2C0F81E8">
              <w:rPr>
                <w:sz w:val="22"/>
                <w:szCs w:val="22"/>
              </w:rPr>
              <w:t>de</w:t>
            </w:r>
            <w:r w:rsidR="6E28274E" w:rsidRPr="2C0F81E8">
              <w:rPr>
                <w:sz w:val="22"/>
                <w:szCs w:val="22"/>
              </w:rPr>
              <w:t>-</w:t>
            </w:r>
            <w:r w:rsidR="17AD0B08" w:rsidRPr="2C0F81E8">
              <w:rPr>
                <w:sz w:val="22"/>
                <w:szCs w:val="22"/>
              </w:rPr>
              <w:t xml:space="preserve">designate </w:t>
            </w:r>
            <w:r w:rsidR="3B6044E6" w:rsidRPr="2C0F81E8">
              <w:rPr>
                <w:sz w:val="22"/>
                <w:szCs w:val="22"/>
              </w:rPr>
              <w:t>accommodation</w:t>
            </w:r>
            <w:r w:rsidR="17AD0B08" w:rsidRPr="2C0F81E8">
              <w:rPr>
                <w:sz w:val="22"/>
                <w:szCs w:val="22"/>
              </w:rPr>
              <w:t xml:space="preserve"> in the Council </w:t>
            </w:r>
            <w:r w:rsidR="65CC8647" w:rsidRPr="2C0F81E8">
              <w:rPr>
                <w:sz w:val="22"/>
                <w:szCs w:val="22"/>
              </w:rPr>
              <w:t>housing s</w:t>
            </w:r>
            <w:r w:rsidR="17AD0B08" w:rsidRPr="2C0F81E8">
              <w:rPr>
                <w:sz w:val="22"/>
                <w:szCs w:val="22"/>
              </w:rPr>
              <w:t xml:space="preserve">tock awaiting redevelopment to use as TA in the </w:t>
            </w:r>
            <w:r w:rsidR="2497F49D" w:rsidRPr="2C0F81E8">
              <w:rPr>
                <w:sz w:val="22"/>
                <w:szCs w:val="22"/>
              </w:rPr>
              <w:t>interim following</w:t>
            </w:r>
            <w:r w:rsidR="17AD0B08" w:rsidRPr="2C0F81E8">
              <w:rPr>
                <w:sz w:val="22"/>
                <w:szCs w:val="22"/>
              </w:rPr>
              <w:t xml:space="preserve"> </w:t>
            </w:r>
            <w:r w:rsidR="3FCA64FA" w:rsidRPr="2C0F81E8">
              <w:rPr>
                <w:sz w:val="22"/>
                <w:szCs w:val="22"/>
              </w:rPr>
              <w:t>consultation</w:t>
            </w:r>
            <w:r w:rsidR="17AD0B08" w:rsidRPr="2C0F81E8">
              <w:rPr>
                <w:sz w:val="22"/>
                <w:szCs w:val="22"/>
              </w:rPr>
              <w:t xml:space="preserve"> with tenants. We are</w:t>
            </w:r>
            <w:r w:rsidR="61F5A0BD" w:rsidRPr="2C0F81E8">
              <w:rPr>
                <w:sz w:val="22"/>
                <w:szCs w:val="22"/>
              </w:rPr>
              <w:t xml:space="preserve"> also</w:t>
            </w:r>
            <w:r w:rsidR="17AD0B08" w:rsidRPr="2C0F81E8">
              <w:rPr>
                <w:sz w:val="22"/>
                <w:szCs w:val="22"/>
              </w:rPr>
              <w:t xml:space="preserve"> </w:t>
            </w:r>
            <w:r w:rsidR="2070D32F" w:rsidRPr="2C0F81E8">
              <w:rPr>
                <w:sz w:val="22"/>
                <w:szCs w:val="22"/>
              </w:rPr>
              <w:t xml:space="preserve">considering </w:t>
            </w:r>
            <w:r w:rsidR="35B6A9E3" w:rsidRPr="2C0F81E8">
              <w:rPr>
                <w:sz w:val="22"/>
                <w:szCs w:val="22"/>
              </w:rPr>
              <w:t>investment</w:t>
            </w:r>
            <w:r w:rsidR="17AD0B08" w:rsidRPr="2C0F81E8">
              <w:rPr>
                <w:sz w:val="22"/>
                <w:szCs w:val="22"/>
              </w:rPr>
              <w:t xml:space="preserve"> </w:t>
            </w:r>
            <w:r w:rsidR="5F41C052" w:rsidRPr="2C0F81E8">
              <w:rPr>
                <w:sz w:val="22"/>
                <w:szCs w:val="22"/>
              </w:rPr>
              <w:t>opportunities to purchase</w:t>
            </w:r>
            <w:r w:rsidR="2420D383" w:rsidRPr="2C0F81E8">
              <w:rPr>
                <w:sz w:val="22"/>
                <w:szCs w:val="22"/>
              </w:rPr>
              <w:t xml:space="preserve"> units for TA use. </w:t>
            </w:r>
            <w:r w:rsidR="33FCA08D" w:rsidRPr="2C0F81E8">
              <w:rPr>
                <w:sz w:val="22"/>
                <w:szCs w:val="22"/>
              </w:rPr>
              <w:t xml:space="preserve">Rated amber as complex projects that are in early design stages. </w:t>
            </w:r>
          </w:p>
        </w:tc>
        <w:tc>
          <w:tcPr>
            <w:tcW w:w="988" w:type="dxa"/>
            <w:shd w:val="clear" w:color="auto" w:fill="FFC000"/>
          </w:tcPr>
          <w:p w14:paraId="7768FE53" w14:textId="40CE8E81" w:rsidR="64CC32DE" w:rsidRDefault="64CC32DE" w:rsidP="64CC32DE">
            <w:pPr>
              <w:rPr>
                <w:sz w:val="22"/>
                <w:szCs w:val="22"/>
              </w:rPr>
            </w:pPr>
          </w:p>
        </w:tc>
      </w:tr>
      <w:tr w:rsidR="64CC32DE" w14:paraId="0F935A82" w14:textId="77777777" w:rsidTr="2C0F81E8">
        <w:trPr>
          <w:trHeight w:val="629"/>
        </w:trPr>
        <w:tc>
          <w:tcPr>
            <w:tcW w:w="1608" w:type="dxa"/>
            <w:vMerge w:val="restart"/>
          </w:tcPr>
          <w:p w14:paraId="6C03FC90" w14:textId="1DD2FF25" w:rsidR="32D90A8D" w:rsidRDefault="32D90A8D" w:rsidP="64CC32DE">
            <w:pPr>
              <w:spacing w:line="279" w:lineRule="auto"/>
            </w:pPr>
            <w:r w:rsidRPr="64CC32DE">
              <w:rPr>
                <w:sz w:val="22"/>
                <w:szCs w:val="22"/>
              </w:rPr>
              <w:t>Increase the move on of homeless households out of TA</w:t>
            </w:r>
          </w:p>
        </w:tc>
        <w:tc>
          <w:tcPr>
            <w:tcW w:w="3515" w:type="dxa"/>
          </w:tcPr>
          <w:p w14:paraId="0EE53F73" w14:textId="5821342D" w:rsidR="68BB0EC9" w:rsidRDefault="68BB0EC9" w:rsidP="64CC32DE">
            <w:pPr>
              <w:rPr>
                <w:rFonts w:ascii="Aptos" w:eastAsia="Aptos" w:hAnsi="Aptos" w:cs="Aptos"/>
                <w:sz w:val="22"/>
                <w:szCs w:val="22"/>
              </w:rPr>
            </w:pPr>
            <w:r w:rsidRPr="64CC32DE">
              <w:rPr>
                <w:rFonts w:ascii="Aptos" w:eastAsia="Aptos" w:hAnsi="Aptos" w:cs="Aptos"/>
                <w:sz w:val="22"/>
                <w:szCs w:val="22"/>
              </w:rPr>
              <w:t>Maximize PRS move on</w:t>
            </w:r>
          </w:p>
        </w:tc>
        <w:tc>
          <w:tcPr>
            <w:tcW w:w="1511" w:type="dxa"/>
          </w:tcPr>
          <w:p w14:paraId="561D7538" w14:textId="60C6EA08" w:rsidR="6FB0B51B" w:rsidRDefault="6FB0B51B" w:rsidP="64CC32DE">
            <w:pPr>
              <w:rPr>
                <w:sz w:val="22"/>
                <w:szCs w:val="22"/>
              </w:rPr>
            </w:pPr>
            <w:r w:rsidRPr="64CC32DE">
              <w:rPr>
                <w:sz w:val="22"/>
                <w:szCs w:val="22"/>
              </w:rPr>
              <w:t xml:space="preserve">Ongoing </w:t>
            </w:r>
          </w:p>
        </w:tc>
        <w:tc>
          <w:tcPr>
            <w:tcW w:w="6915" w:type="dxa"/>
          </w:tcPr>
          <w:p w14:paraId="1E3D6CC5" w14:textId="187B96D8" w:rsidR="64CC32DE" w:rsidRDefault="73FE3B01" w:rsidP="29EE79A3">
            <w:pPr>
              <w:rPr>
                <w:rFonts w:ascii="Aptos" w:eastAsia="Aptos" w:hAnsi="Aptos" w:cs="Aptos"/>
                <w:sz w:val="22"/>
                <w:szCs w:val="22"/>
              </w:rPr>
            </w:pPr>
            <w:r w:rsidRPr="2C0F81E8">
              <w:rPr>
                <w:rFonts w:ascii="Aptos" w:eastAsia="Aptos" w:hAnsi="Aptos" w:cs="Aptos"/>
                <w:color w:val="000000" w:themeColor="text1"/>
                <w:sz w:val="22"/>
                <w:szCs w:val="22"/>
              </w:rPr>
              <w:t>Service development and investment in our PRS Procurement Team continues to deliver in a very challenging market, with them securing 59 new lets in the first 5 months, up from 50 this time last year</w:t>
            </w:r>
            <w:r w:rsidR="7FBD8CDD" w:rsidRPr="2C0F81E8">
              <w:rPr>
                <w:rFonts w:ascii="Aptos" w:eastAsia="Aptos" w:hAnsi="Aptos" w:cs="Aptos"/>
                <w:color w:val="000000" w:themeColor="text1"/>
                <w:sz w:val="22"/>
                <w:szCs w:val="22"/>
              </w:rPr>
              <w:t>.</w:t>
            </w:r>
          </w:p>
        </w:tc>
        <w:tc>
          <w:tcPr>
            <w:tcW w:w="988" w:type="dxa"/>
            <w:shd w:val="clear" w:color="auto" w:fill="92D050"/>
          </w:tcPr>
          <w:p w14:paraId="68468AF5" w14:textId="2409DB98" w:rsidR="64CC32DE" w:rsidRDefault="64CC32DE" w:rsidP="64CC32DE">
            <w:pPr>
              <w:rPr>
                <w:sz w:val="22"/>
                <w:szCs w:val="22"/>
              </w:rPr>
            </w:pPr>
          </w:p>
        </w:tc>
      </w:tr>
      <w:tr w:rsidR="64CC32DE" w14:paraId="66DC602A" w14:textId="77777777" w:rsidTr="2C0F81E8">
        <w:trPr>
          <w:trHeight w:val="300"/>
        </w:trPr>
        <w:tc>
          <w:tcPr>
            <w:tcW w:w="1608" w:type="dxa"/>
            <w:vMerge/>
          </w:tcPr>
          <w:p w14:paraId="6EC5D93C" w14:textId="77777777" w:rsidR="002D2BD2" w:rsidRDefault="002D2BD2"/>
        </w:tc>
        <w:tc>
          <w:tcPr>
            <w:tcW w:w="3515" w:type="dxa"/>
          </w:tcPr>
          <w:p w14:paraId="1A47D683" w14:textId="0F4346A0" w:rsidR="68BB0EC9" w:rsidRDefault="68BB0EC9" w:rsidP="64CC32DE">
            <w:pPr>
              <w:rPr>
                <w:sz w:val="22"/>
                <w:szCs w:val="22"/>
              </w:rPr>
            </w:pPr>
            <w:r w:rsidRPr="64CC32DE">
              <w:rPr>
                <w:sz w:val="22"/>
                <w:szCs w:val="22"/>
              </w:rPr>
              <w:t>Maximize access to social housing</w:t>
            </w:r>
          </w:p>
        </w:tc>
        <w:tc>
          <w:tcPr>
            <w:tcW w:w="1511" w:type="dxa"/>
          </w:tcPr>
          <w:p w14:paraId="28769C59" w14:textId="66F9DBF1" w:rsidR="3EDF26F2" w:rsidRDefault="3EDF26F2" w:rsidP="64CC32DE">
            <w:pPr>
              <w:rPr>
                <w:sz w:val="22"/>
                <w:szCs w:val="22"/>
              </w:rPr>
            </w:pPr>
            <w:r w:rsidRPr="64CC32DE">
              <w:rPr>
                <w:sz w:val="22"/>
                <w:szCs w:val="22"/>
              </w:rPr>
              <w:t>Ongoing</w:t>
            </w:r>
          </w:p>
        </w:tc>
        <w:tc>
          <w:tcPr>
            <w:tcW w:w="6915" w:type="dxa"/>
          </w:tcPr>
          <w:p w14:paraId="431A649D" w14:textId="37E10DE2" w:rsidR="64CC32DE" w:rsidRDefault="3962A65C" w:rsidP="29EE79A3">
            <w:pPr>
              <w:rPr>
                <w:rFonts w:ascii="Aptos" w:eastAsia="Aptos" w:hAnsi="Aptos" w:cs="Aptos"/>
                <w:sz w:val="22"/>
                <w:szCs w:val="22"/>
              </w:rPr>
            </w:pPr>
            <w:proofErr w:type="gramStart"/>
            <w:r w:rsidRPr="29EE79A3">
              <w:rPr>
                <w:rFonts w:ascii="Aptos" w:eastAsia="Aptos" w:hAnsi="Aptos" w:cs="Aptos"/>
                <w:color w:val="000000" w:themeColor="text1"/>
                <w:sz w:val="22"/>
                <w:szCs w:val="22"/>
              </w:rPr>
              <w:t>In order to</w:t>
            </w:r>
            <w:proofErr w:type="gramEnd"/>
            <w:r w:rsidRPr="29EE79A3">
              <w:rPr>
                <w:rFonts w:ascii="Aptos" w:eastAsia="Aptos" w:hAnsi="Aptos" w:cs="Aptos"/>
                <w:color w:val="000000" w:themeColor="text1"/>
                <w:sz w:val="22"/>
                <w:szCs w:val="22"/>
              </w:rPr>
              <w:t xml:space="preserve"> meet our statutory obligations, we allocated 40% of all lets to homeless households in the first 5 months of the financial year (75 properties), compared to 19% (44 properties) for the same period last year, as outlined in the Council’s letting plan. We will continue to allocate to this plan as long as demand for TA remains high to ensure we have sufficient move on.</w:t>
            </w:r>
          </w:p>
        </w:tc>
        <w:tc>
          <w:tcPr>
            <w:tcW w:w="988" w:type="dxa"/>
            <w:shd w:val="clear" w:color="auto" w:fill="92D050"/>
          </w:tcPr>
          <w:p w14:paraId="158D3517" w14:textId="58343680" w:rsidR="64CC32DE" w:rsidRDefault="64CC32DE" w:rsidP="64CC32DE">
            <w:pPr>
              <w:rPr>
                <w:sz w:val="22"/>
                <w:szCs w:val="22"/>
              </w:rPr>
            </w:pPr>
          </w:p>
        </w:tc>
      </w:tr>
    </w:tbl>
    <w:p w14:paraId="2CC2A797" w14:textId="3773BE01" w:rsidR="64CC32DE" w:rsidRDefault="64CC32DE"/>
    <w:p w14:paraId="2B0F2112" w14:textId="595732D5" w:rsidR="64CC32DE" w:rsidRDefault="64CC32DE"/>
    <w:sectPr w:rsidR="64CC32D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AB196E"/>
    <w:rsid w:val="0004390E"/>
    <w:rsid w:val="002D2BD2"/>
    <w:rsid w:val="00E51184"/>
    <w:rsid w:val="014C428B"/>
    <w:rsid w:val="018F574B"/>
    <w:rsid w:val="01F8A9CE"/>
    <w:rsid w:val="030F4EB6"/>
    <w:rsid w:val="032AFFA9"/>
    <w:rsid w:val="036EB33D"/>
    <w:rsid w:val="03CB7B4A"/>
    <w:rsid w:val="042CE0C9"/>
    <w:rsid w:val="04606C9D"/>
    <w:rsid w:val="04F3D4F4"/>
    <w:rsid w:val="0530D6F4"/>
    <w:rsid w:val="05EBEECF"/>
    <w:rsid w:val="0604EE37"/>
    <w:rsid w:val="061E7A88"/>
    <w:rsid w:val="06EB22EF"/>
    <w:rsid w:val="070F9C9B"/>
    <w:rsid w:val="0711F38E"/>
    <w:rsid w:val="073A1110"/>
    <w:rsid w:val="075E4E40"/>
    <w:rsid w:val="0767DE7F"/>
    <w:rsid w:val="08A3178E"/>
    <w:rsid w:val="08AB196E"/>
    <w:rsid w:val="094579F9"/>
    <w:rsid w:val="099E5235"/>
    <w:rsid w:val="0A4A1F83"/>
    <w:rsid w:val="0AE5A2F2"/>
    <w:rsid w:val="0B96551A"/>
    <w:rsid w:val="0C2CA6E6"/>
    <w:rsid w:val="0C54DE20"/>
    <w:rsid w:val="0C9266E8"/>
    <w:rsid w:val="0CD8CDF7"/>
    <w:rsid w:val="0D34F459"/>
    <w:rsid w:val="0D4BF487"/>
    <w:rsid w:val="0D52214D"/>
    <w:rsid w:val="0D6E8986"/>
    <w:rsid w:val="0DB8A607"/>
    <w:rsid w:val="0E0C7513"/>
    <w:rsid w:val="0E110281"/>
    <w:rsid w:val="0E48F049"/>
    <w:rsid w:val="0EE502BD"/>
    <w:rsid w:val="0F37453F"/>
    <w:rsid w:val="0FF90DD5"/>
    <w:rsid w:val="10316E33"/>
    <w:rsid w:val="1100B92A"/>
    <w:rsid w:val="11734A39"/>
    <w:rsid w:val="117E19B6"/>
    <w:rsid w:val="1339B9F7"/>
    <w:rsid w:val="13518358"/>
    <w:rsid w:val="13AB1E1D"/>
    <w:rsid w:val="1405F333"/>
    <w:rsid w:val="1478ED4D"/>
    <w:rsid w:val="147C3501"/>
    <w:rsid w:val="14E76E18"/>
    <w:rsid w:val="14ECA6BE"/>
    <w:rsid w:val="15334B24"/>
    <w:rsid w:val="1533CD7F"/>
    <w:rsid w:val="1590D7C9"/>
    <w:rsid w:val="15A67349"/>
    <w:rsid w:val="15DE1DDD"/>
    <w:rsid w:val="1613BF6A"/>
    <w:rsid w:val="16C22038"/>
    <w:rsid w:val="16E2710E"/>
    <w:rsid w:val="16ED91B2"/>
    <w:rsid w:val="1701729E"/>
    <w:rsid w:val="170184C8"/>
    <w:rsid w:val="1719D473"/>
    <w:rsid w:val="17AD0B08"/>
    <w:rsid w:val="17CDF782"/>
    <w:rsid w:val="18035F2C"/>
    <w:rsid w:val="1810CD7E"/>
    <w:rsid w:val="18BF2ADF"/>
    <w:rsid w:val="18CBA5BF"/>
    <w:rsid w:val="198C297E"/>
    <w:rsid w:val="198FC735"/>
    <w:rsid w:val="199633D4"/>
    <w:rsid w:val="19F3BE04"/>
    <w:rsid w:val="19F7DF47"/>
    <w:rsid w:val="1A8243B6"/>
    <w:rsid w:val="1AC3A022"/>
    <w:rsid w:val="1B4BE798"/>
    <w:rsid w:val="1CD05D14"/>
    <w:rsid w:val="1D0BC554"/>
    <w:rsid w:val="1D29AC69"/>
    <w:rsid w:val="1E1619F0"/>
    <w:rsid w:val="1F0F116C"/>
    <w:rsid w:val="1F11D849"/>
    <w:rsid w:val="1FD188EB"/>
    <w:rsid w:val="1FEB13B9"/>
    <w:rsid w:val="1FED4B04"/>
    <w:rsid w:val="1FF3C5C2"/>
    <w:rsid w:val="2000D55E"/>
    <w:rsid w:val="200F7FF4"/>
    <w:rsid w:val="201B1B53"/>
    <w:rsid w:val="2070D32F"/>
    <w:rsid w:val="20B151CB"/>
    <w:rsid w:val="20E37657"/>
    <w:rsid w:val="210F0EB1"/>
    <w:rsid w:val="212554E9"/>
    <w:rsid w:val="215C44AE"/>
    <w:rsid w:val="21C2472E"/>
    <w:rsid w:val="21DC44D1"/>
    <w:rsid w:val="221EF8AF"/>
    <w:rsid w:val="22353477"/>
    <w:rsid w:val="223C0EB0"/>
    <w:rsid w:val="2252AB39"/>
    <w:rsid w:val="22870B10"/>
    <w:rsid w:val="22F40062"/>
    <w:rsid w:val="23341593"/>
    <w:rsid w:val="240259ED"/>
    <w:rsid w:val="2420B41C"/>
    <w:rsid w:val="2420D383"/>
    <w:rsid w:val="2497F49D"/>
    <w:rsid w:val="24C16FD9"/>
    <w:rsid w:val="24D71B98"/>
    <w:rsid w:val="24E22060"/>
    <w:rsid w:val="25288ED4"/>
    <w:rsid w:val="25FD737D"/>
    <w:rsid w:val="2627B716"/>
    <w:rsid w:val="262CA155"/>
    <w:rsid w:val="2677E24E"/>
    <w:rsid w:val="26E5BE0E"/>
    <w:rsid w:val="276ACED9"/>
    <w:rsid w:val="281AED63"/>
    <w:rsid w:val="28B3D232"/>
    <w:rsid w:val="28FB8BE3"/>
    <w:rsid w:val="290EF8A9"/>
    <w:rsid w:val="29995E2B"/>
    <w:rsid w:val="29ECB103"/>
    <w:rsid w:val="29EE79A3"/>
    <w:rsid w:val="2A106AD6"/>
    <w:rsid w:val="2A2EAD65"/>
    <w:rsid w:val="2ABD585F"/>
    <w:rsid w:val="2C0F81E8"/>
    <w:rsid w:val="2C622732"/>
    <w:rsid w:val="2CC5A730"/>
    <w:rsid w:val="2CDB0840"/>
    <w:rsid w:val="2CF4D7FC"/>
    <w:rsid w:val="2D6AD97A"/>
    <w:rsid w:val="2D9571CF"/>
    <w:rsid w:val="2E99ABA9"/>
    <w:rsid w:val="2EC72108"/>
    <w:rsid w:val="2ECA72F4"/>
    <w:rsid w:val="2F5756CA"/>
    <w:rsid w:val="2FA5CDC9"/>
    <w:rsid w:val="2FB9A5DF"/>
    <w:rsid w:val="2FF83F71"/>
    <w:rsid w:val="3065EF9D"/>
    <w:rsid w:val="3117D866"/>
    <w:rsid w:val="3150E39D"/>
    <w:rsid w:val="3286D7E3"/>
    <w:rsid w:val="328F024B"/>
    <w:rsid w:val="32D90A8D"/>
    <w:rsid w:val="33CB3E1B"/>
    <w:rsid w:val="33FCA08D"/>
    <w:rsid w:val="3413735E"/>
    <w:rsid w:val="34165632"/>
    <w:rsid w:val="34270CCA"/>
    <w:rsid w:val="344CC1E6"/>
    <w:rsid w:val="34AA4168"/>
    <w:rsid w:val="34B46895"/>
    <w:rsid w:val="354A1DEC"/>
    <w:rsid w:val="35B6A9E3"/>
    <w:rsid w:val="35BF689F"/>
    <w:rsid w:val="35C4AC91"/>
    <w:rsid w:val="36E52BE6"/>
    <w:rsid w:val="373DF74F"/>
    <w:rsid w:val="3748033C"/>
    <w:rsid w:val="3792FDFA"/>
    <w:rsid w:val="38909F50"/>
    <w:rsid w:val="38CEEBDF"/>
    <w:rsid w:val="38CFF01F"/>
    <w:rsid w:val="393DD291"/>
    <w:rsid w:val="3962A65C"/>
    <w:rsid w:val="3996EE08"/>
    <w:rsid w:val="39D2BA1D"/>
    <w:rsid w:val="3A127B46"/>
    <w:rsid w:val="3A13DF8D"/>
    <w:rsid w:val="3A33B425"/>
    <w:rsid w:val="3A8A9993"/>
    <w:rsid w:val="3AE6EAD5"/>
    <w:rsid w:val="3B6044E6"/>
    <w:rsid w:val="3B6BF172"/>
    <w:rsid w:val="3B8B8C21"/>
    <w:rsid w:val="3B942CD0"/>
    <w:rsid w:val="3BAF4406"/>
    <w:rsid w:val="3C078C91"/>
    <w:rsid w:val="3C16C312"/>
    <w:rsid w:val="3C47E242"/>
    <w:rsid w:val="3C6E25B0"/>
    <w:rsid w:val="3CD9D17A"/>
    <w:rsid w:val="3D3F3DB1"/>
    <w:rsid w:val="3DFBEAA4"/>
    <w:rsid w:val="3E4DC095"/>
    <w:rsid w:val="3E4EB617"/>
    <w:rsid w:val="3E58C9EA"/>
    <w:rsid w:val="3E9BCAB1"/>
    <w:rsid w:val="3EC9142E"/>
    <w:rsid w:val="3ECBC80A"/>
    <w:rsid w:val="3EDF26F2"/>
    <w:rsid w:val="3F1F4FC2"/>
    <w:rsid w:val="3F47A1DD"/>
    <w:rsid w:val="3F8331D3"/>
    <w:rsid w:val="3FCA64FA"/>
    <w:rsid w:val="3FE1DCA9"/>
    <w:rsid w:val="3FFCADB6"/>
    <w:rsid w:val="4009D8C4"/>
    <w:rsid w:val="405538D1"/>
    <w:rsid w:val="4133AFC7"/>
    <w:rsid w:val="414DA0B5"/>
    <w:rsid w:val="41EC51B2"/>
    <w:rsid w:val="4212A18C"/>
    <w:rsid w:val="427933A0"/>
    <w:rsid w:val="42A4B1D1"/>
    <w:rsid w:val="42A7744C"/>
    <w:rsid w:val="42A967A3"/>
    <w:rsid w:val="43AEDE48"/>
    <w:rsid w:val="43C10C11"/>
    <w:rsid w:val="43CC0497"/>
    <w:rsid w:val="43EDFC38"/>
    <w:rsid w:val="4420B923"/>
    <w:rsid w:val="446E779A"/>
    <w:rsid w:val="44D867B7"/>
    <w:rsid w:val="44EDD132"/>
    <w:rsid w:val="45238533"/>
    <w:rsid w:val="45D1A966"/>
    <w:rsid w:val="45F3E306"/>
    <w:rsid w:val="45FD7229"/>
    <w:rsid w:val="4630579D"/>
    <w:rsid w:val="46A65AC4"/>
    <w:rsid w:val="47083653"/>
    <w:rsid w:val="471E2517"/>
    <w:rsid w:val="47260742"/>
    <w:rsid w:val="47F9B513"/>
    <w:rsid w:val="4808C28E"/>
    <w:rsid w:val="4814A0C3"/>
    <w:rsid w:val="48DFCA2E"/>
    <w:rsid w:val="49230D20"/>
    <w:rsid w:val="49354E2F"/>
    <w:rsid w:val="49683C2C"/>
    <w:rsid w:val="498BA992"/>
    <w:rsid w:val="4A09204B"/>
    <w:rsid w:val="4A68E887"/>
    <w:rsid w:val="4A77BB1C"/>
    <w:rsid w:val="4ADD9758"/>
    <w:rsid w:val="4AEEAF00"/>
    <w:rsid w:val="4B31D292"/>
    <w:rsid w:val="4B4C7F25"/>
    <w:rsid w:val="4B9B212A"/>
    <w:rsid w:val="4C054E03"/>
    <w:rsid w:val="4C12BBAB"/>
    <w:rsid w:val="4C29F1A5"/>
    <w:rsid w:val="4C816A3B"/>
    <w:rsid w:val="4C880194"/>
    <w:rsid w:val="4C8B32E8"/>
    <w:rsid w:val="4CC9DF96"/>
    <w:rsid w:val="4CFEE1BB"/>
    <w:rsid w:val="4D14DAEC"/>
    <w:rsid w:val="4D1CCCB2"/>
    <w:rsid w:val="4D4B5758"/>
    <w:rsid w:val="4D9C9160"/>
    <w:rsid w:val="4DAA0F54"/>
    <w:rsid w:val="4E615939"/>
    <w:rsid w:val="4EFA253C"/>
    <w:rsid w:val="4F978F53"/>
    <w:rsid w:val="4FE03F69"/>
    <w:rsid w:val="500845CD"/>
    <w:rsid w:val="5034837A"/>
    <w:rsid w:val="50478649"/>
    <w:rsid w:val="508E945D"/>
    <w:rsid w:val="50A7A191"/>
    <w:rsid w:val="50C6E77E"/>
    <w:rsid w:val="5250BEA7"/>
    <w:rsid w:val="52645367"/>
    <w:rsid w:val="5266116C"/>
    <w:rsid w:val="528CFA39"/>
    <w:rsid w:val="52CA4259"/>
    <w:rsid w:val="534DEAAF"/>
    <w:rsid w:val="535354F1"/>
    <w:rsid w:val="53752A2A"/>
    <w:rsid w:val="538F2377"/>
    <w:rsid w:val="53DECAFF"/>
    <w:rsid w:val="54D6B6DB"/>
    <w:rsid w:val="55664E12"/>
    <w:rsid w:val="55734BFE"/>
    <w:rsid w:val="55AECF9F"/>
    <w:rsid w:val="55DC0C20"/>
    <w:rsid w:val="55DDBAFD"/>
    <w:rsid w:val="5754A443"/>
    <w:rsid w:val="577A3004"/>
    <w:rsid w:val="57D234FB"/>
    <w:rsid w:val="580A59D4"/>
    <w:rsid w:val="580AA5FE"/>
    <w:rsid w:val="58161B08"/>
    <w:rsid w:val="5837B53A"/>
    <w:rsid w:val="58902791"/>
    <w:rsid w:val="58AF2E52"/>
    <w:rsid w:val="58C5C5F8"/>
    <w:rsid w:val="58E1DEF6"/>
    <w:rsid w:val="595BF35A"/>
    <w:rsid w:val="59D1F35E"/>
    <w:rsid w:val="5B320F4E"/>
    <w:rsid w:val="5B7DE40D"/>
    <w:rsid w:val="5BA11D6F"/>
    <w:rsid w:val="5BD91669"/>
    <w:rsid w:val="5BF8F4E0"/>
    <w:rsid w:val="5C06C007"/>
    <w:rsid w:val="5C81BBD9"/>
    <w:rsid w:val="5D0D8164"/>
    <w:rsid w:val="5D5A8D2B"/>
    <w:rsid w:val="5E39C42A"/>
    <w:rsid w:val="5EF90B2D"/>
    <w:rsid w:val="5F2AC7F7"/>
    <w:rsid w:val="5F41C052"/>
    <w:rsid w:val="5F7E7539"/>
    <w:rsid w:val="5FA5117E"/>
    <w:rsid w:val="5FC195CC"/>
    <w:rsid w:val="5FD5CA25"/>
    <w:rsid w:val="605A1846"/>
    <w:rsid w:val="6081D8D4"/>
    <w:rsid w:val="60B6329B"/>
    <w:rsid w:val="611898D8"/>
    <w:rsid w:val="61741289"/>
    <w:rsid w:val="617FC5F6"/>
    <w:rsid w:val="619011E2"/>
    <w:rsid w:val="61EC1EC0"/>
    <w:rsid w:val="61EF2240"/>
    <w:rsid w:val="61F5A0BD"/>
    <w:rsid w:val="6258AC88"/>
    <w:rsid w:val="626FA4C9"/>
    <w:rsid w:val="62A1FD7F"/>
    <w:rsid w:val="62AFFE64"/>
    <w:rsid w:val="62C06D4A"/>
    <w:rsid w:val="634D5D9C"/>
    <w:rsid w:val="648BE2A8"/>
    <w:rsid w:val="64CC32DE"/>
    <w:rsid w:val="64CCA8AF"/>
    <w:rsid w:val="64DFB67A"/>
    <w:rsid w:val="64F2D782"/>
    <w:rsid w:val="65001185"/>
    <w:rsid w:val="652AB106"/>
    <w:rsid w:val="6530594A"/>
    <w:rsid w:val="654C3663"/>
    <w:rsid w:val="654E45E3"/>
    <w:rsid w:val="656FA1F4"/>
    <w:rsid w:val="65CC8647"/>
    <w:rsid w:val="668E102E"/>
    <w:rsid w:val="66FC5A34"/>
    <w:rsid w:val="673902F5"/>
    <w:rsid w:val="673E5520"/>
    <w:rsid w:val="681499D2"/>
    <w:rsid w:val="68BB0EC9"/>
    <w:rsid w:val="69D993C7"/>
    <w:rsid w:val="69E45753"/>
    <w:rsid w:val="69EFFC8F"/>
    <w:rsid w:val="6A703FDE"/>
    <w:rsid w:val="6AE76E0D"/>
    <w:rsid w:val="6AF818FB"/>
    <w:rsid w:val="6B821DFC"/>
    <w:rsid w:val="6B9F32F9"/>
    <w:rsid w:val="6BD7E2F0"/>
    <w:rsid w:val="6C01600B"/>
    <w:rsid w:val="6C77065E"/>
    <w:rsid w:val="6CDEDD41"/>
    <w:rsid w:val="6D4D414A"/>
    <w:rsid w:val="6DA23762"/>
    <w:rsid w:val="6E28274E"/>
    <w:rsid w:val="6E2AECA7"/>
    <w:rsid w:val="6E4F71E2"/>
    <w:rsid w:val="6EA6FA14"/>
    <w:rsid w:val="6F62D5D0"/>
    <w:rsid w:val="6F80DB7A"/>
    <w:rsid w:val="6F981B25"/>
    <w:rsid w:val="6FA9B150"/>
    <w:rsid w:val="6FB0B51B"/>
    <w:rsid w:val="7001A975"/>
    <w:rsid w:val="7016F6AE"/>
    <w:rsid w:val="705A4BBF"/>
    <w:rsid w:val="716582F8"/>
    <w:rsid w:val="71C0179D"/>
    <w:rsid w:val="71C06F46"/>
    <w:rsid w:val="725D0A3B"/>
    <w:rsid w:val="735A4654"/>
    <w:rsid w:val="735EDDB1"/>
    <w:rsid w:val="73FE3B01"/>
    <w:rsid w:val="7464A4C8"/>
    <w:rsid w:val="74807C35"/>
    <w:rsid w:val="7483C289"/>
    <w:rsid w:val="749EEE7C"/>
    <w:rsid w:val="74B8312E"/>
    <w:rsid w:val="74CBC4E4"/>
    <w:rsid w:val="74D35C59"/>
    <w:rsid w:val="7500B162"/>
    <w:rsid w:val="7523815A"/>
    <w:rsid w:val="7570519E"/>
    <w:rsid w:val="75F1C484"/>
    <w:rsid w:val="75FF6877"/>
    <w:rsid w:val="768D201A"/>
    <w:rsid w:val="77044B00"/>
    <w:rsid w:val="7705299C"/>
    <w:rsid w:val="772A5CC2"/>
    <w:rsid w:val="7741C12F"/>
    <w:rsid w:val="777CF6DD"/>
    <w:rsid w:val="77F5E8D3"/>
    <w:rsid w:val="77F712D8"/>
    <w:rsid w:val="77F89658"/>
    <w:rsid w:val="78271A2B"/>
    <w:rsid w:val="78396CC9"/>
    <w:rsid w:val="7899B393"/>
    <w:rsid w:val="798BF0AE"/>
    <w:rsid w:val="798F3373"/>
    <w:rsid w:val="7A152277"/>
    <w:rsid w:val="7A3866CC"/>
    <w:rsid w:val="7A6D1EFD"/>
    <w:rsid w:val="7A7EBD4F"/>
    <w:rsid w:val="7AE12A5D"/>
    <w:rsid w:val="7B57C94A"/>
    <w:rsid w:val="7B81FFD1"/>
    <w:rsid w:val="7BC07551"/>
    <w:rsid w:val="7C1D4AED"/>
    <w:rsid w:val="7C82FA12"/>
    <w:rsid w:val="7D7F7DBF"/>
    <w:rsid w:val="7D88794E"/>
    <w:rsid w:val="7D96865E"/>
    <w:rsid w:val="7E0C42A5"/>
    <w:rsid w:val="7E3E0461"/>
    <w:rsid w:val="7EA1C4EF"/>
    <w:rsid w:val="7F0B0805"/>
    <w:rsid w:val="7F1AABEF"/>
    <w:rsid w:val="7F282507"/>
    <w:rsid w:val="7F34AC38"/>
    <w:rsid w:val="7F404B9D"/>
    <w:rsid w:val="7FABD93C"/>
    <w:rsid w:val="7FBD8CDD"/>
    <w:rsid w:val="7FCA8D1E"/>
    <w:rsid w:val="7FEF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196E"/>
  <w15:chartTrackingRefBased/>
  <w15:docId w15:val="{C98A21B9-3A46-4DAB-8B8A-00A2956F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983</Words>
  <Characters>5607</Characters>
  <Application>Microsoft Office Word</Application>
  <DocSecurity>4</DocSecurity>
  <Lines>46</Lines>
  <Paragraphs>13</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 Abigail</dc:creator>
  <cp:keywords/>
  <dc:description/>
  <cp:lastModifiedBy>MALTON Jonathan</cp:lastModifiedBy>
  <cp:revision>2</cp:revision>
  <dcterms:created xsi:type="dcterms:W3CDTF">2024-10-02T09:52:00Z</dcterms:created>
  <dcterms:modified xsi:type="dcterms:W3CDTF">2024-10-02T09:52:00Z</dcterms:modified>
</cp:coreProperties>
</file>